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E86" w:rsidRDefault="00AB4E86" w:rsidP="00B87016">
      <w:pPr>
        <w:jc w:val="center"/>
        <w:rPr>
          <w:b/>
          <w:sz w:val="52"/>
          <w:szCs w:val="52"/>
        </w:rPr>
      </w:pPr>
    </w:p>
    <w:p w:rsidR="00AB4E86" w:rsidRDefault="00AB4E86" w:rsidP="00B87016">
      <w:pPr>
        <w:jc w:val="center"/>
        <w:rPr>
          <w:b/>
          <w:sz w:val="52"/>
          <w:szCs w:val="52"/>
        </w:rPr>
      </w:pPr>
    </w:p>
    <w:p w:rsidR="002265D2" w:rsidRDefault="002265D2" w:rsidP="00B87016">
      <w:pPr>
        <w:jc w:val="center"/>
        <w:rPr>
          <w:b/>
          <w:sz w:val="52"/>
          <w:szCs w:val="52"/>
        </w:rPr>
      </w:pPr>
    </w:p>
    <w:p w:rsidR="00AB4E86" w:rsidRDefault="00AB4E86" w:rsidP="00B87016">
      <w:pPr>
        <w:jc w:val="center"/>
        <w:rPr>
          <w:b/>
          <w:sz w:val="52"/>
          <w:szCs w:val="52"/>
        </w:rPr>
      </w:pPr>
    </w:p>
    <w:p w:rsidR="00655E30" w:rsidRDefault="0007587E" w:rsidP="00645740">
      <w:pPr>
        <w:jc w:val="center"/>
        <w:rPr>
          <w:b/>
          <w:sz w:val="52"/>
          <w:szCs w:val="52"/>
        </w:rPr>
      </w:pPr>
      <w:r>
        <w:rPr>
          <w:b/>
          <w:sz w:val="52"/>
          <w:szCs w:val="52"/>
        </w:rPr>
        <w:t xml:space="preserve">The </w:t>
      </w:r>
      <w:r w:rsidR="00D84D1F" w:rsidRPr="00AB4E86">
        <w:rPr>
          <w:b/>
          <w:sz w:val="52"/>
          <w:szCs w:val="52"/>
        </w:rPr>
        <w:t xml:space="preserve">Exponential Smoothing Macro </w:t>
      </w:r>
      <w:r w:rsidR="00812AF2">
        <w:rPr>
          <w:b/>
          <w:sz w:val="52"/>
          <w:szCs w:val="52"/>
        </w:rPr>
        <w:t xml:space="preserve">(ESM) </w:t>
      </w:r>
      <w:r w:rsidR="00522C4C">
        <w:rPr>
          <w:b/>
          <w:sz w:val="52"/>
          <w:szCs w:val="52"/>
        </w:rPr>
        <w:t>for</w:t>
      </w:r>
      <w:r>
        <w:rPr>
          <w:b/>
          <w:sz w:val="52"/>
          <w:szCs w:val="52"/>
        </w:rPr>
        <w:t xml:space="preserve"> Time Series F</w:t>
      </w:r>
      <w:r w:rsidR="00655E30">
        <w:rPr>
          <w:b/>
          <w:sz w:val="52"/>
          <w:szCs w:val="52"/>
        </w:rPr>
        <w:t xml:space="preserve">orecasting </w:t>
      </w:r>
    </w:p>
    <w:p w:rsidR="0007587E" w:rsidRDefault="0007587E" w:rsidP="00645740">
      <w:pPr>
        <w:jc w:val="center"/>
        <w:rPr>
          <w:b/>
          <w:sz w:val="52"/>
          <w:szCs w:val="52"/>
        </w:rPr>
      </w:pPr>
    </w:p>
    <w:p w:rsidR="0007587E" w:rsidRPr="00AB4E86" w:rsidRDefault="0007587E" w:rsidP="00645740">
      <w:pPr>
        <w:jc w:val="center"/>
        <w:rPr>
          <w:b/>
          <w:sz w:val="52"/>
          <w:szCs w:val="52"/>
        </w:rPr>
      </w:pPr>
      <w:r>
        <w:rPr>
          <w:b/>
          <w:sz w:val="52"/>
          <w:szCs w:val="52"/>
        </w:rPr>
        <w:t>Operations Manual</w:t>
      </w:r>
    </w:p>
    <w:p w:rsidR="00627DE9" w:rsidRDefault="00627DE9" w:rsidP="00627DE9">
      <w:pPr>
        <w:pStyle w:val="NoSpacing"/>
        <w:spacing w:line="360" w:lineRule="auto"/>
        <w:rPr>
          <w:sz w:val="18"/>
          <w:szCs w:val="18"/>
        </w:rPr>
      </w:pPr>
    </w:p>
    <w:p w:rsidR="00EE08C1" w:rsidRDefault="00EE08C1" w:rsidP="00627DE9">
      <w:pPr>
        <w:pStyle w:val="NoSpacing"/>
        <w:spacing w:line="360" w:lineRule="auto"/>
        <w:rPr>
          <w:sz w:val="18"/>
          <w:szCs w:val="18"/>
        </w:rPr>
      </w:pPr>
    </w:p>
    <w:p w:rsidR="00EE08C1" w:rsidRDefault="00EE08C1" w:rsidP="00627DE9">
      <w:pPr>
        <w:pStyle w:val="NoSpacing"/>
        <w:spacing w:line="360" w:lineRule="auto"/>
        <w:rPr>
          <w:sz w:val="18"/>
          <w:szCs w:val="18"/>
        </w:rPr>
      </w:pPr>
    </w:p>
    <w:p w:rsidR="002265D2" w:rsidRDefault="002265D2" w:rsidP="00627DE9">
      <w:pPr>
        <w:pStyle w:val="NoSpacing"/>
        <w:spacing w:line="360" w:lineRule="auto"/>
        <w:rPr>
          <w:sz w:val="18"/>
          <w:szCs w:val="18"/>
        </w:rPr>
      </w:pPr>
    </w:p>
    <w:p w:rsidR="009054AF" w:rsidRDefault="009054AF" w:rsidP="00627DE9">
      <w:pPr>
        <w:pStyle w:val="NoSpacing"/>
        <w:spacing w:line="360" w:lineRule="auto"/>
        <w:rPr>
          <w:sz w:val="18"/>
          <w:szCs w:val="18"/>
        </w:rPr>
      </w:pPr>
    </w:p>
    <w:p w:rsidR="009054AF" w:rsidRDefault="009054AF" w:rsidP="00627DE9">
      <w:pPr>
        <w:pStyle w:val="NoSpacing"/>
        <w:spacing w:line="360" w:lineRule="auto"/>
        <w:rPr>
          <w:sz w:val="18"/>
          <w:szCs w:val="18"/>
        </w:rPr>
      </w:pPr>
    </w:p>
    <w:p w:rsidR="00EE08C1" w:rsidRPr="002F7EC8" w:rsidRDefault="002F7EC8" w:rsidP="002F7EC8">
      <w:pPr>
        <w:pStyle w:val="NoSpacing"/>
        <w:spacing w:line="360" w:lineRule="auto"/>
        <w:jc w:val="center"/>
        <w:rPr>
          <w:b/>
          <w:sz w:val="32"/>
          <w:szCs w:val="32"/>
        </w:rPr>
      </w:pPr>
      <w:r w:rsidRPr="002F7EC8">
        <w:rPr>
          <w:b/>
          <w:sz w:val="32"/>
          <w:szCs w:val="32"/>
        </w:rPr>
        <w:t>May 2012</w:t>
      </w:r>
      <w:r w:rsidR="001F16F3">
        <w:rPr>
          <w:b/>
          <w:sz w:val="32"/>
          <w:szCs w:val="32"/>
        </w:rPr>
        <w:t>; revised September 2017</w:t>
      </w:r>
    </w:p>
    <w:p w:rsidR="00EE08C1" w:rsidRDefault="00EE08C1" w:rsidP="00627DE9">
      <w:pPr>
        <w:pStyle w:val="NoSpacing"/>
        <w:spacing w:line="360" w:lineRule="auto"/>
        <w:rPr>
          <w:sz w:val="18"/>
          <w:szCs w:val="18"/>
        </w:rPr>
      </w:pPr>
    </w:p>
    <w:p w:rsidR="002265D2" w:rsidRDefault="002265D2" w:rsidP="00627DE9">
      <w:pPr>
        <w:pStyle w:val="NoSpacing"/>
        <w:spacing w:line="360" w:lineRule="auto"/>
        <w:rPr>
          <w:sz w:val="18"/>
          <w:szCs w:val="18"/>
        </w:rPr>
      </w:pPr>
    </w:p>
    <w:p w:rsidR="002265D2" w:rsidRDefault="002265D2" w:rsidP="00627DE9">
      <w:pPr>
        <w:pStyle w:val="NoSpacing"/>
        <w:spacing w:line="360" w:lineRule="auto"/>
        <w:rPr>
          <w:sz w:val="18"/>
          <w:szCs w:val="18"/>
        </w:rPr>
      </w:pPr>
    </w:p>
    <w:p w:rsidR="00507884" w:rsidRDefault="00507884" w:rsidP="00627DE9">
      <w:pPr>
        <w:pStyle w:val="NoSpacing"/>
        <w:spacing w:line="360" w:lineRule="auto"/>
        <w:rPr>
          <w:sz w:val="18"/>
          <w:szCs w:val="18"/>
        </w:rPr>
      </w:pPr>
    </w:p>
    <w:p w:rsidR="00507884" w:rsidRDefault="00507884" w:rsidP="00627DE9">
      <w:pPr>
        <w:pStyle w:val="NoSpacing"/>
        <w:spacing w:line="360" w:lineRule="auto"/>
        <w:rPr>
          <w:sz w:val="18"/>
          <w:szCs w:val="18"/>
        </w:rPr>
      </w:pPr>
    </w:p>
    <w:p w:rsidR="00507884" w:rsidRDefault="00507884" w:rsidP="00627DE9">
      <w:pPr>
        <w:pStyle w:val="NoSpacing"/>
        <w:spacing w:line="360" w:lineRule="auto"/>
        <w:rPr>
          <w:sz w:val="18"/>
          <w:szCs w:val="18"/>
        </w:rPr>
      </w:pPr>
    </w:p>
    <w:p w:rsidR="00D84D1F" w:rsidRPr="00AB4E86" w:rsidRDefault="00627DE9" w:rsidP="00507884">
      <w:pPr>
        <w:pStyle w:val="NoSpacing"/>
        <w:spacing w:line="480" w:lineRule="auto"/>
        <w:rPr>
          <w:sz w:val="18"/>
          <w:szCs w:val="18"/>
        </w:rPr>
      </w:pPr>
      <w:r w:rsidRPr="00AB4E86">
        <w:rPr>
          <w:sz w:val="18"/>
          <w:szCs w:val="18"/>
        </w:rPr>
        <w:t xml:space="preserve">Author: </w:t>
      </w:r>
      <w:r w:rsidR="00B87016" w:rsidRPr="00AB4E86">
        <w:rPr>
          <w:sz w:val="18"/>
          <w:szCs w:val="18"/>
        </w:rPr>
        <w:t xml:space="preserve"> Young Ho Seo</w:t>
      </w:r>
      <w:r w:rsidR="00506746">
        <w:rPr>
          <w:sz w:val="18"/>
          <w:szCs w:val="18"/>
        </w:rPr>
        <w:t xml:space="preserve"> (Supervision was done by Professor Keith Ord and Professor Robert Fildes)  </w:t>
      </w:r>
    </w:p>
    <w:p w:rsidR="007B317B" w:rsidRPr="00AB4E86" w:rsidRDefault="007B317B" w:rsidP="00507884">
      <w:pPr>
        <w:pStyle w:val="NoSpacing"/>
        <w:spacing w:line="480" w:lineRule="auto"/>
        <w:rPr>
          <w:sz w:val="18"/>
          <w:szCs w:val="18"/>
        </w:rPr>
      </w:pPr>
      <w:r w:rsidRPr="00AB4E86">
        <w:rPr>
          <w:sz w:val="18"/>
          <w:szCs w:val="18"/>
        </w:rPr>
        <w:t>Centre for Forecasting</w:t>
      </w:r>
    </w:p>
    <w:p w:rsidR="001C6BA6" w:rsidRPr="00AB4E86" w:rsidRDefault="007B317B" w:rsidP="00507884">
      <w:pPr>
        <w:pStyle w:val="NoSpacing"/>
        <w:spacing w:line="480" w:lineRule="auto"/>
        <w:rPr>
          <w:sz w:val="18"/>
          <w:szCs w:val="18"/>
        </w:rPr>
      </w:pPr>
      <w:r w:rsidRPr="00AB4E86">
        <w:rPr>
          <w:sz w:val="18"/>
          <w:szCs w:val="18"/>
        </w:rPr>
        <w:t>Lancaster University Management School</w:t>
      </w:r>
    </w:p>
    <w:p w:rsidR="00EC2FB3" w:rsidRPr="00AB4E86" w:rsidRDefault="00EC2FB3" w:rsidP="00507884">
      <w:pPr>
        <w:pStyle w:val="NoSpacing"/>
        <w:spacing w:line="480" w:lineRule="auto"/>
        <w:rPr>
          <w:sz w:val="18"/>
          <w:szCs w:val="18"/>
        </w:rPr>
      </w:pPr>
      <w:r w:rsidRPr="00AB4E86">
        <w:rPr>
          <w:sz w:val="18"/>
          <w:szCs w:val="18"/>
        </w:rPr>
        <w:t>Lancaster University</w:t>
      </w:r>
    </w:p>
    <w:p w:rsidR="00EE08C1" w:rsidRPr="002265D2" w:rsidRDefault="001C6BA6" w:rsidP="002265D2">
      <w:pPr>
        <w:pStyle w:val="NoSpacing"/>
        <w:spacing w:line="480" w:lineRule="auto"/>
        <w:rPr>
          <w:sz w:val="18"/>
          <w:szCs w:val="18"/>
        </w:rPr>
      </w:pPr>
      <w:r w:rsidRPr="00AB4E86">
        <w:rPr>
          <w:sz w:val="18"/>
          <w:szCs w:val="18"/>
        </w:rPr>
        <w:t>Email: “</w:t>
      </w:r>
      <w:r w:rsidRPr="00AB4E86">
        <w:rPr>
          <w:rStyle w:val="go"/>
          <w:sz w:val="18"/>
          <w:szCs w:val="18"/>
        </w:rPr>
        <w:t>studyhardgroup123@googlemail.com”</w:t>
      </w:r>
    </w:p>
    <w:sdt>
      <w:sdtPr>
        <w:rPr>
          <w:rFonts w:asciiTheme="minorHAnsi" w:eastAsiaTheme="minorEastAsia" w:hAnsiTheme="minorHAnsi" w:cstheme="minorBidi"/>
          <w:b w:val="0"/>
          <w:bCs w:val="0"/>
          <w:color w:val="auto"/>
          <w:sz w:val="22"/>
          <w:szCs w:val="22"/>
          <w:lang w:val="en-GB" w:eastAsia="ko-KR"/>
        </w:rPr>
        <w:id w:val="1351684692"/>
        <w:docPartObj>
          <w:docPartGallery w:val="Table of Contents"/>
          <w:docPartUnique/>
        </w:docPartObj>
      </w:sdtPr>
      <w:sdtEndPr>
        <w:rPr>
          <w:noProof/>
        </w:rPr>
      </w:sdtEndPr>
      <w:sdtContent>
        <w:p w:rsidR="00CD26BD" w:rsidRDefault="00CD26BD">
          <w:pPr>
            <w:pStyle w:val="TOCHeading"/>
          </w:pPr>
          <w:r>
            <w:t>Contents</w:t>
          </w:r>
        </w:p>
        <w:p w:rsidR="00CD26BD" w:rsidRDefault="00CD26BD">
          <w:pPr>
            <w:pStyle w:val="TOC1"/>
            <w:tabs>
              <w:tab w:val="right" w:leader="dot" w:pos="9016"/>
            </w:tabs>
            <w:rPr>
              <w:noProof/>
              <w:lang w:val="en-US" w:eastAsia="en-US"/>
            </w:rPr>
          </w:pPr>
          <w:r>
            <w:fldChar w:fldCharType="begin"/>
          </w:r>
          <w:r>
            <w:instrText xml:space="preserve"> TOC \o "1-3" \h \z \u </w:instrText>
          </w:r>
          <w:r>
            <w:fldChar w:fldCharType="separate"/>
          </w:r>
          <w:hyperlink w:anchor="_Toc492732282" w:history="1">
            <w:r w:rsidRPr="00177224">
              <w:rPr>
                <w:rStyle w:val="Hyperlink"/>
                <w:noProof/>
              </w:rPr>
              <w:t>Foreword</w:t>
            </w:r>
            <w:r>
              <w:rPr>
                <w:noProof/>
                <w:webHidden/>
              </w:rPr>
              <w:tab/>
            </w:r>
            <w:r>
              <w:rPr>
                <w:noProof/>
                <w:webHidden/>
              </w:rPr>
              <w:fldChar w:fldCharType="begin"/>
            </w:r>
            <w:r>
              <w:rPr>
                <w:noProof/>
                <w:webHidden/>
              </w:rPr>
              <w:instrText xml:space="preserve"> PAGEREF _Toc492732282 \h </w:instrText>
            </w:r>
            <w:r>
              <w:rPr>
                <w:noProof/>
                <w:webHidden/>
              </w:rPr>
            </w:r>
            <w:r>
              <w:rPr>
                <w:noProof/>
                <w:webHidden/>
              </w:rPr>
              <w:fldChar w:fldCharType="separate"/>
            </w:r>
            <w:r w:rsidR="003C4D8E">
              <w:rPr>
                <w:noProof/>
                <w:webHidden/>
              </w:rPr>
              <w:t>3</w:t>
            </w:r>
            <w:r>
              <w:rPr>
                <w:noProof/>
                <w:webHidden/>
              </w:rPr>
              <w:fldChar w:fldCharType="end"/>
            </w:r>
          </w:hyperlink>
        </w:p>
        <w:p w:rsidR="00CD26BD" w:rsidRDefault="00FB6E35">
          <w:pPr>
            <w:pStyle w:val="TOC1"/>
            <w:tabs>
              <w:tab w:val="right" w:leader="dot" w:pos="9016"/>
            </w:tabs>
            <w:rPr>
              <w:noProof/>
              <w:lang w:val="en-US" w:eastAsia="en-US"/>
            </w:rPr>
          </w:pPr>
          <w:hyperlink w:anchor="_Toc492732283" w:history="1">
            <w:r w:rsidR="00CD26BD" w:rsidRPr="00177224">
              <w:rPr>
                <w:rStyle w:val="Hyperlink"/>
                <w:noProof/>
              </w:rPr>
              <w:t>1. Objective of Exponential Smoothing Macro (ESM)</w:t>
            </w:r>
            <w:r w:rsidR="00CD26BD">
              <w:rPr>
                <w:noProof/>
                <w:webHidden/>
              </w:rPr>
              <w:tab/>
            </w:r>
            <w:r w:rsidR="00CD26BD">
              <w:rPr>
                <w:noProof/>
                <w:webHidden/>
              </w:rPr>
              <w:fldChar w:fldCharType="begin"/>
            </w:r>
            <w:r w:rsidR="00CD26BD">
              <w:rPr>
                <w:noProof/>
                <w:webHidden/>
              </w:rPr>
              <w:instrText xml:space="preserve"> PAGEREF _Toc492732283 \h </w:instrText>
            </w:r>
            <w:r w:rsidR="00CD26BD">
              <w:rPr>
                <w:noProof/>
                <w:webHidden/>
              </w:rPr>
            </w:r>
            <w:r w:rsidR="00CD26BD">
              <w:rPr>
                <w:noProof/>
                <w:webHidden/>
              </w:rPr>
              <w:fldChar w:fldCharType="separate"/>
            </w:r>
            <w:r w:rsidR="003C4D8E">
              <w:rPr>
                <w:noProof/>
                <w:webHidden/>
              </w:rPr>
              <w:t>4</w:t>
            </w:r>
            <w:r w:rsidR="00CD26BD">
              <w:rPr>
                <w:noProof/>
                <w:webHidden/>
              </w:rPr>
              <w:fldChar w:fldCharType="end"/>
            </w:r>
          </w:hyperlink>
        </w:p>
        <w:p w:rsidR="00CD26BD" w:rsidRDefault="00FB6E35">
          <w:pPr>
            <w:pStyle w:val="TOC1"/>
            <w:tabs>
              <w:tab w:val="right" w:leader="dot" w:pos="9016"/>
            </w:tabs>
            <w:rPr>
              <w:noProof/>
              <w:lang w:val="en-US" w:eastAsia="en-US"/>
            </w:rPr>
          </w:pPr>
          <w:hyperlink w:anchor="_Toc492732284" w:history="1">
            <w:r w:rsidR="00CD26BD" w:rsidRPr="00177224">
              <w:rPr>
                <w:rStyle w:val="Hyperlink"/>
                <w:noProof/>
              </w:rPr>
              <w:t>2. Functionality of Exponential Smoothing Macro</w:t>
            </w:r>
            <w:r w:rsidR="00CD26BD">
              <w:rPr>
                <w:noProof/>
                <w:webHidden/>
              </w:rPr>
              <w:tab/>
            </w:r>
            <w:r w:rsidR="00CD26BD">
              <w:rPr>
                <w:noProof/>
                <w:webHidden/>
              </w:rPr>
              <w:fldChar w:fldCharType="begin"/>
            </w:r>
            <w:r w:rsidR="00CD26BD">
              <w:rPr>
                <w:noProof/>
                <w:webHidden/>
              </w:rPr>
              <w:instrText xml:space="preserve"> PAGEREF _Toc492732284 \h </w:instrText>
            </w:r>
            <w:r w:rsidR="00CD26BD">
              <w:rPr>
                <w:noProof/>
                <w:webHidden/>
              </w:rPr>
            </w:r>
            <w:r w:rsidR="00CD26BD">
              <w:rPr>
                <w:noProof/>
                <w:webHidden/>
              </w:rPr>
              <w:fldChar w:fldCharType="separate"/>
            </w:r>
            <w:r w:rsidR="003C4D8E">
              <w:rPr>
                <w:noProof/>
                <w:webHidden/>
              </w:rPr>
              <w:t>4</w:t>
            </w:r>
            <w:r w:rsidR="00CD26BD">
              <w:rPr>
                <w:noProof/>
                <w:webHidden/>
              </w:rPr>
              <w:fldChar w:fldCharType="end"/>
            </w:r>
          </w:hyperlink>
        </w:p>
        <w:p w:rsidR="00CD26BD" w:rsidRDefault="00FB6E35">
          <w:pPr>
            <w:pStyle w:val="TOC1"/>
            <w:tabs>
              <w:tab w:val="right" w:leader="dot" w:pos="9016"/>
            </w:tabs>
            <w:rPr>
              <w:noProof/>
              <w:lang w:val="en-US" w:eastAsia="en-US"/>
            </w:rPr>
          </w:pPr>
          <w:hyperlink w:anchor="_Toc492732285" w:history="1">
            <w:r w:rsidR="00CD26BD" w:rsidRPr="00177224">
              <w:rPr>
                <w:rStyle w:val="Hyperlink"/>
                <w:noProof/>
              </w:rPr>
              <w:t>3. Requirements for running the ESM</w:t>
            </w:r>
            <w:r w:rsidR="00CD26BD">
              <w:rPr>
                <w:noProof/>
                <w:webHidden/>
              </w:rPr>
              <w:tab/>
            </w:r>
            <w:r w:rsidR="00CD26BD">
              <w:rPr>
                <w:noProof/>
                <w:webHidden/>
              </w:rPr>
              <w:fldChar w:fldCharType="begin"/>
            </w:r>
            <w:r w:rsidR="00CD26BD">
              <w:rPr>
                <w:noProof/>
                <w:webHidden/>
              </w:rPr>
              <w:instrText xml:space="preserve"> PAGEREF _Toc492732285 \h </w:instrText>
            </w:r>
            <w:r w:rsidR="00CD26BD">
              <w:rPr>
                <w:noProof/>
                <w:webHidden/>
              </w:rPr>
            </w:r>
            <w:r w:rsidR="00CD26BD">
              <w:rPr>
                <w:noProof/>
                <w:webHidden/>
              </w:rPr>
              <w:fldChar w:fldCharType="separate"/>
            </w:r>
            <w:r w:rsidR="003C4D8E">
              <w:rPr>
                <w:noProof/>
                <w:webHidden/>
              </w:rPr>
              <w:t>5</w:t>
            </w:r>
            <w:r w:rsidR="00CD26BD">
              <w:rPr>
                <w:noProof/>
                <w:webHidden/>
              </w:rPr>
              <w:fldChar w:fldCharType="end"/>
            </w:r>
          </w:hyperlink>
        </w:p>
        <w:p w:rsidR="00CD26BD" w:rsidRDefault="00FB6E35">
          <w:pPr>
            <w:pStyle w:val="TOC2"/>
            <w:tabs>
              <w:tab w:val="right" w:leader="dot" w:pos="9016"/>
            </w:tabs>
            <w:rPr>
              <w:noProof/>
              <w:lang w:val="en-US" w:eastAsia="en-US"/>
            </w:rPr>
          </w:pPr>
          <w:hyperlink w:anchor="_Toc492732286" w:history="1">
            <w:r w:rsidR="00CD26BD" w:rsidRPr="00177224">
              <w:rPr>
                <w:rStyle w:val="Hyperlink"/>
                <w:noProof/>
              </w:rPr>
              <w:t>3.1 Using MS-Excel 2007</w:t>
            </w:r>
            <w:r w:rsidR="00CD26BD">
              <w:rPr>
                <w:noProof/>
                <w:webHidden/>
              </w:rPr>
              <w:tab/>
            </w:r>
            <w:r w:rsidR="00CD26BD">
              <w:rPr>
                <w:noProof/>
                <w:webHidden/>
              </w:rPr>
              <w:fldChar w:fldCharType="begin"/>
            </w:r>
            <w:r w:rsidR="00CD26BD">
              <w:rPr>
                <w:noProof/>
                <w:webHidden/>
              </w:rPr>
              <w:instrText xml:space="preserve"> PAGEREF _Toc492732286 \h </w:instrText>
            </w:r>
            <w:r w:rsidR="00CD26BD">
              <w:rPr>
                <w:noProof/>
                <w:webHidden/>
              </w:rPr>
            </w:r>
            <w:r w:rsidR="00CD26BD">
              <w:rPr>
                <w:noProof/>
                <w:webHidden/>
              </w:rPr>
              <w:fldChar w:fldCharType="separate"/>
            </w:r>
            <w:r w:rsidR="003C4D8E">
              <w:rPr>
                <w:noProof/>
                <w:webHidden/>
              </w:rPr>
              <w:t>5</w:t>
            </w:r>
            <w:r w:rsidR="00CD26BD">
              <w:rPr>
                <w:noProof/>
                <w:webHidden/>
              </w:rPr>
              <w:fldChar w:fldCharType="end"/>
            </w:r>
          </w:hyperlink>
        </w:p>
        <w:p w:rsidR="00CD26BD" w:rsidRDefault="00FB6E35">
          <w:pPr>
            <w:pStyle w:val="TOC2"/>
            <w:tabs>
              <w:tab w:val="right" w:leader="dot" w:pos="9016"/>
            </w:tabs>
            <w:rPr>
              <w:noProof/>
              <w:lang w:val="en-US" w:eastAsia="en-US"/>
            </w:rPr>
          </w:pPr>
          <w:hyperlink w:anchor="_Toc492732287" w:history="1">
            <w:r w:rsidR="00CD26BD" w:rsidRPr="00177224">
              <w:rPr>
                <w:rStyle w:val="Hyperlink"/>
                <w:noProof/>
              </w:rPr>
              <w:t>3.2 Using MS-Excel 2010</w:t>
            </w:r>
            <w:r w:rsidR="00CD26BD">
              <w:rPr>
                <w:noProof/>
                <w:webHidden/>
              </w:rPr>
              <w:tab/>
            </w:r>
            <w:r w:rsidR="00CD26BD">
              <w:rPr>
                <w:noProof/>
                <w:webHidden/>
              </w:rPr>
              <w:fldChar w:fldCharType="begin"/>
            </w:r>
            <w:r w:rsidR="00CD26BD">
              <w:rPr>
                <w:noProof/>
                <w:webHidden/>
              </w:rPr>
              <w:instrText xml:space="preserve"> PAGEREF _Toc492732287 \h </w:instrText>
            </w:r>
            <w:r w:rsidR="00CD26BD">
              <w:rPr>
                <w:noProof/>
                <w:webHidden/>
              </w:rPr>
            </w:r>
            <w:r w:rsidR="00CD26BD">
              <w:rPr>
                <w:noProof/>
                <w:webHidden/>
              </w:rPr>
              <w:fldChar w:fldCharType="separate"/>
            </w:r>
            <w:r w:rsidR="003C4D8E">
              <w:rPr>
                <w:noProof/>
                <w:webHidden/>
              </w:rPr>
              <w:t>5</w:t>
            </w:r>
            <w:r w:rsidR="00CD26BD">
              <w:rPr>
                <w:noProof/>
                <w:webHidden/>
              </w:rPr>
              <w:fldChar w:fldCharType="end"/>
            </w:r>
          </w:hyperlink>
        </w:p>
        <w:p w:rsidR="00CD26BD" w:rsidRDefault="00FB6E35">
          <w:pPr>
            <w:pStyle w:val="TOC2"/>
            <w:tabs>
              <w:tab w:val="right" w:leader="dot" w:pos="9016"/>
            </w:tabs>
            <w:rPr>
              <w:noProof/>
              <w:lang w:val="en-US" w:eastAsia="en-US"/>
            </w:rPr>
          </w:pPr>
          <w:hyperlink w:anchor="_Toc492732288" w:history="1">
            <w:r w:rsidR="00CD26BD" w:rsidRPr="00177224">
              <w:rPr>
                <w:rStyle w:val="Hyperlink"/>
                <w:noProof/>
              </w:rPr>
              <w:t>3.3 VBA requirements to run the ESM</w:t>
            </w:r>
            <w:r w:rsidR="00CD26BD">
              <w:rPr>
                <w:noProof/>
                <w:webHidden/>
              </w:rPr>
              <w:tab/>
            </w:r>
            <w:r w:rsidR="00CD26BD">
              <w:rPr>
                <w:noProof/>
                <w:webHidden/>
              </w:rPr>
              <w:fldChar w:fldCharType="begin"/>
            </w:r>
            <w:r w:rsidR="00CD26BD">
              <w:rPr>
                <w:noProof/>
                <w:webHidden/>
              </w:rPr>
              <w:instrText xml:space="preserve"> PAGEREF _Toc492732288 \h </w:instrText>
            </w:r>
            <w:r w:rsidR="00CD26BD">
              <w:rPr>
                <w:noProof/>
                <w:webHidden/>
              </w:rPr>
            </w:r>
            <w:r w:rsidR="00CD26BD">
              <w:rPr>
                <w:noProof/>
                <w:webHidden/>
              </w:rPr>
              <w:fldChar w:fldCharType="separate"/>
            </w:r>
            <w:r w:rsidR="003C4D8E">
              <w:rPr>
                <w:noProof/>
                <w:webHidden/>
              </w:rPr>
              <w:t>5</w:t>
            </w:r>
            <w:r w:rsidR="00CD26BD">
              <w:rPr>
                <w:noProof/>
                <w:webHidden/>
              </w:rPr>
              <w:fldChar w:fldCharType="end"/>
            </w:r>
          </w:hyperlink>
        </w:p>
        <w:p w:rsidR="00CD26BD" w:rsidRDefault="00FB6E35">
          <w:pPr>
            <w:pStyle w:val="TOC1"/>
            <w:tabs>
              <w:tab w:val="right" w:leader="dot" w:pos="9016"/>
            </w:tabs>
            <w:rPr>
              <w:noProof/>
              <w:lang w:val="en-US" w:eastAsia="en-US"/>
            </w:rPr>
          </w:pPr>
          <w:hyperlink w:anchor="_Toc492732289" w:history="1">
            <w:r w:rsidR="00CD26BD" w:rsidRPr="00177224">
              <w:rPr>
                <w:rStyle w:val="Hyperlink"/>
                <w:noProof/>
              </w:rPr>
              <w:t>4. How to use the Exponential Smoothing Macro</w:t>
            </w:r>
            <w:r w:rsidR="00CD26BD">
              <w:rPr>
                <w:noProof/>
                <w:webHidden/>
              </w:rPr>
              <w:tab/>
            </w:r>
            <w:r w:rsidR="00CD26BD">
              <w:rPr>
                <w:noProof/>
                <w:webHidden/>
              </w:rPr>
              <w:fldChar w:fldCharType="begin"/>
            </w:r>
            <w:r w:rsidR="00CD26BD">
              <w:rPr>
                <w:noProof/>
                <w:webHidden/>
              </w:rPr>
              <w:instrText xml:space="preserve"> PAGEREF _Toc492732289 \h </w:instrText>
            </w:r>
            <w:r w:rsidR="00CD26BD">
              <w:rPr>
                <w:noProof/>
                <w:webHidden/>
              </w:rPr>
            </w:r>
            <w:r w:rsidR="00CD26BD">
              <w:rPr>
                <w:noProof/>
                <w:webHidden/>
              </w:rPr>
              <w:fldChar w:fldCharType="separate"/>
            </w:r>
            <w:r w:rsidR="003C4D8E">
              <w:rPr>
                <w:noProof/>
                <w:webHidden/>
              </w:rPr>
              <w:t>6</w:t>
            </w:r>
            <w:r w:rsidR="00CD26BD">
              <w:rPr>
                <w:noProof/>
                <w:webHidden/>
              </w:rPr>
              <w:fldChar w:fldCharType="end"/>
            </w:r>
          </w:hyperlink>
        </w:p>
        <w:p w:rsidR="00CD26BD" w:rsidRDefault="00FB6E35">
          <w:pPr>
            <w:pStyle w:val="TOC2"/>
            <w:tabs>
              <w:tab w:val="right" w:leader="dot" w:pos="9016"/>
            </w:tabs>
            <w:rPr>
              <w:noProof/>
              <w:lang w:val="en-US" w:eastAsia="en-US"/>
            </w:rPr>
          </w:pPr>
          <w:hyperlink w:anchor="_Toc492732290" w:history="1">
            <w:r w:rsidR="00CD26BD" w:rsidRPr="00177224">
              <w:rPr>
                <w:rStyle w:val="Hyperlink"/>
                <w:noProof/>
              </w:rPr>
              <w:t>4.1 Introduction to the Graphical User Interface (GUI)</w:t>
            </w:r>
            <w:r w:rsidR="00CD26BD">
              <w:rPr>
                <w:noProof/>
                <w:webHidden/>
              </w:rPr>
              <w:tab/>
            </w:r>
            <w:r w:rsidR="00CD26BD">
              <w:rPr>
                <w:noProof/>
                <w:webHidden/>
              </w:rPr>
              <w:fldChar w:fldCharType="begin"/>
            </w:r>
            <w:r w:rsidR="00CD26BD">
              <w:rPr>
                <w:noProof/>
                <w:webHidden/>
              </w:rPr>
              <w:instrText xml:space="preserve"> PAGEREF _Toc492732290 \h </w:instrText>
            </w:r>
            <w:r w:rsidR="00CD26BD">
              <w:rPr>
                <w:noProof/>
                <w:webHidden/>
              </w:rPr>
            </w:r>
            <w:r w:rsidR="00CD26BD">
              <w:rPr>
                <w:noProof/>
                <w:webHidden/>
              </w:rPr>
              <w:fldChar w:fldCharType="separate"/>
            </w:r>
            <w:r w:rsidR="003C4D8E">
              <w:rPr>
                <w:noProof/>
                <w:webHidden/>
              </w:rPr>
              <w:t>6</w:t>
            </w:r>
            <w:r w:rsidR="00CD26BD">
              <w:rPr>
                <w:noProof/>
                <w:webHidden/>
              </w:rPr>
              <w:fldChar w:fldCharType="end"/>
            </w:r>
          </w:hyperlink>
        </w:p>
        <w:p w:rsidR="00CD26BD" w:rsidRDefault="00FB6E35">
          <w:pPr>
            <w:pStyle w:val="TOC2"/>
            <w:tabs>
              <w:tab w:val="right" w:leader="dot" w:pos="9016"/>
            </w:tabs>
            <w:rPr>
              <w:noProof/>
              <w:lang w:val="en-US" w:eastAsia="en-US"/>
            </w:rPr>
          </w:pPr>
          <w:hyperlink w:anchor="_Toc492732291" w:history="1">
            <w:r w:rsidR="00CD26BD" w:rsidRPr="00177224">
              <w:rPr>
                <w:rStyle w:val="Hyperlink"/>
                <w:noProof/>
              </w:rPr>
              <w:t>4.2 Time series data</w:t>
            </w:r>
            <w:r w:rsidR="00CD26BD">
              <w:rPr>
                <w:noProof/>
                <w:webHidden/>
              </w:rPr>
              <w:tab/>
            </w:r>
            <w:r w:rsidR="00CD26BD">
              <w:rPr>
                <w:noProof/>
                <w:webHidden/>
              </w:rPr>
              <w:fldChar w:fldCharType="begin"/>
            </w:r>
            <w:r w:rsidR="00CD26BD">
              <w:rPr>
                <w:noProof/>
                <w:webHidden/>
              </w:rPr>
              <w:instrText xml:space="preserve"> PAGEREF _Toc492732291 \h </w:instrText>
            </w:r>
            <w:r w:rsidR="00CD26BD">
              <w:rPr>
                <w:noProof/>
                <w:webHidden/>
              </w:rPr>
            </w:r>
            <w:r w:rsidR="00CD26BD">
              <w:rPr>
                <w:noProof/>
                <w:webHidden/>
              </w:rPr>
              <w:fldChar w:fldCharType="separate"/>
            </w:r>
            <w:r w:rsidR="003C4D8E">
              <w:rPr>
                <w:noProof/>
                <w:webHidden/>
              </w:rPr>
              <w:t>7</w:t>
            </w:r>
            <w:r w:rsidR="00CD26BD">
              <w:rPr>
                <w:noProof/>
                <w:webHidden/>
              </w:rPr>
              <w:fldChar w:fldCharType="end"/>
            </w:r>
          </w:hyperlink>
        </w:p>
        <w:p w:rsidR="00CD26BD" w:rsidRDefault="00FB6E35">
          <w:pPr>
            <w:pStyle w:val="TOC2"/>
            <w:tabs>
              <w:tab w:val="right" w:leader="dot" w:pos="9016"/>
            </w:tabs>
            <w:rPr>
              <w:noProof/>
              <w:lang w:val="en-US" w:eastAsia="en-US"/>
            </w:rPr>
          </w:pPr>
          <w:hyperlink w:anchor="_Toc492732292" w:history="1">
            <w:r w:rsidR="00CD26BD" w:rsidRPr="00177224">
              <w:rPr>
                <w:rStyle w:val="Hyperlink"/>
                <w:noProof/>
              </w:rPr>
              <w:t>4.3 Generating the forecasts</w:t>
            </w:r>
            <w:r w:rsidR="00CD26BD">
              <w:rPr>
                <w:noProof/>
                <w:webHidden/>
              </w:rPr>
              <w:tab/>
            </w:r>
            <w:r w:rsidR="00CD26BD">
              <w:rPr>
                <w:noProof/>
                <w:webHidden/>
              </w:rPr>
              <w:fldChar w:fldCharType="begin"/>
            </w:r>
            <w:r w:rsidR="00CD26BD">
              <w:rPr>
                <w:noProof/>
                <w:webHidden/>
              </w:rPr>
              <w:instrText xml:space="preserve"> PAGEREF _Toc492732292 \h </w:instrText>
            </w:r>
            <w:r w:rsidR="00CD26BD">
              <w:rPr>
                <w:noProof/>
                <w:webHidden/>
              </w:rPr>
            </w:r>
            <w:r w:rsidR="00CD26BD">
              <w:rPr>
                <w:noProof/>
                <w:webHidden/>
              </w:rPr>
              <w:fldChar w:fldCharType="separate"/>
            </w:r>
            <w:r w:rsidR="003C4D8E">
              <w:rPr>
                <w:noProof/>
                <w:webHidden/>
              </w:rPr>
              <w:t>8</w:t>
            </w:r>
            <w:r w:rsidR="00CD26BD">
              <w:rPr>
                <w:noProof/>
                <w:webHidden/>
              </w:rPr>
              <w:fldChar w:fldCharType="end"/>
            </w:r>
          </w:hyperlink>
        </w:p>
        <w:p w:rsidR="00CD26BD" w:rsidRDefault="00FB6E35">
          <w:pPr>
            <w:pStyle w:val="TOC1"/>
            <w:tabs>
              <w:tab w:val="right" w:leader="dot" w:pos="9016"/>
            </w:tabs>
            <w:rPr>
              <w:noProof/>
              <w:lang w:val="en-US" w:eastAsia="en-US"/>
            </w:rPr>
          </w:pPr>
          <w:hyperlink w:anchor="_Toc492732293" w:history="1">
            <w:r w:rsidR="00CD26BD" w:rsidRPr="00177224">
              <w:rPr>
                <w:rStyle w:val="Hyperlink"/>
                <w:noProof/>
              </w:rPr>
              <w:t>5. Using the damped trend exponential smoothing method with a logarithmic transformation: A demonstration</w:t>
            </w:r>
            <w:r w:rsidR="00CD26BD">
              <w:rPr>
                <w:noProof/>
                <w:webHidden/>
              </w:rPr>
              <w:tab/>
            </w:r>
            <w:r w:rsidR="00CD26BD">
              <w:rPr>
                <w:noProof/>
                <w:webHidden/>
              </w:rPr>
              <w:fldChar w:fldCharType="begin"/>
            </w:r>
            <w:r w:rsidR="00CD26BD">
              <w:rPr>
                <w:noProof/>
                <w:webHidden/>
              </w:rPr>
              <w:instrText xml:space="preserve"> PAGEREF _Toc492732293 \h </w:instrText>
            </w:r>
            <w:r w:rsidR="00CD26BD">
              <w:rPr>
                <w:noProof/>
                <w:webHidden/>
              </w:rPr>
            </w:r>
            <w:r w:rsidR="00CD26BD">
              <w:rPr>
                <w:noProof/>
                <w:webHidden/>
              </w:rPr>
              <w:fldChar w:fldCharType="separate"/>
            </w:r>
            <w:r w:rsidR="003C4D8E">
              <w:rPr>
                <w:noProof/>
                <w:webHidden/>
              </w:rPr>
              <w:t>11</w:t>
            </w:r>
            <w:r w:rsidR="00CD26BD">
              <w:rPr>
                <w:noProof/>
                <w:webHidden/>
              </w:rPr>
              <w:fldChar w:fldCharType="end"/>
            </w:r>
          </w:hyperlink>
        </w:p>
        <w:p w:rsidR="00CD26BD" w:rsidRDefault="00FB6E35">
          <w:pPr>
            <w:pStyle w:val="TOC1"/>
            <w:tabs>
              <w:tab w:val="right" w:leader="dot" w:pos="9016"/>
            </w:tabs>
            <w:rPr>
              <w:noProof/>
              <w:lang w:val="en-US" w:eastAsia="en-US"/>
            </w:rPr>
          </w:pPr>
          <w:hyperlink w:anchor="_Toc492732294" w:history="1">
            <w:r w:rsidR="00CD26BD" w:rsidRPr="00177224">
              <w:rPr>
                <w:rStyle w:val="Hyperlink"/>
                <w:noProof/>
              </w:rPr>
              <w:t>6. Rolling Origin Evaluation</w:t>
            </w:r>
            <w:r w:rsidR="00CD26BD">
              <w:rPr>
                <w:noProof/>
                <w:webHidden/>
              </w:rPr>
              <w:tab/>
            </w:r>
            <w:r w:rsidR="00CD26BD">
              <w:rPr>
                <w:noProof/>
                <w:webHidden/>
              </w:rPr>
              <w:fldChar w:fldCharType="begin"/>
            </w:r>
            <w:r w:rsidR="00CD26BD">
              <w:rPr>
                <w:noProof/>
                <w:webHidden/>
              </w:rPr>
              <w:instrText xml:space="preserve"> PAGEREF _Toc492732294 \h </w:instrText>
            </w:r>
            <w:r w:rsidR="00CD26BD">
              <w:rPr>
                <w:noProof/>
                <w:webHidden/>
              </w:rPr>
            </w:r>
            <w:r w:rsidR="00CD26BD">
              <w:rPr>
                <w:noProof/>
                <w:webHidden/>
              </w:rPr>
              <w:fldChar w:fldCharType="separate"/>
            </w:r>
            <w:r w:rsidR="003C4D8E">
              <w:rPr>
                <w:noProof/>
                <w:webHidden/>
              </w:rPr>
              <w:t>13</w:t>
            </w:r>
            <w:r w:rsidR="00CD26BD">
              <w:rPr>
                <w:noProof/>
                <w:webHidden/>
              </w:rPr>
              <w:fldChar w:fldCharType="end"/>
            </w:r>
          </w:hyperlink>
        </w:p>
        <w:p w:rsidR="00CD26BD" w:rsidRDefault="00FB6E35">
          <w:pPr>
            <w:pStyle w:val="TOC1"/>
            <w:tabs>
              <w:tab w:val="right" w:leader="dot" w:pos="9016"/>
            </w:tabs>
            <w:rPr>
              <w:noProof/>
              <w:lang w:val="en-US" w:eastAsia="en-US"/>
            </w:rPr>
          </w:pPr>
          <w:hyperlink w:anchor="_Toc492732295" w:history="1">
            <w:r w:rsidR="00CD26BD" w:rsidRPr="00177224">
              <w:rPr>
                <w:rStyle w:val="Hyperlink"/>
                <w:noProof/>
              </w:rPr>
              <w:t>7. Seasonality Check</w:t>
            </w:r>
            <w:r w:rsidR="00CD26BD">
              <w:rPr>
                <w:noProof/>
                <w:webHidden/>
              </w:rPr>
              <w:tab/>
            </w:r>
            <w:r w:rsidR="00CD26BD">
              <w:rPr>
                <w:noProof/>
                <w:webHidden/>
              </w:rPr>
              <w:fldChar w:fldCharType="begin"/>
            </w:r>
            <w:r w:rsidR="00CD26BD">
              <w:rPr>
                <w:noProof/>
                <w:webHidden/>
              </w:rPr>
              <w:instrText xml:space="preserve"> PAGEREF _Toc492732295 \h </w:instrText>
            </w:r>
            <w:r w:rsidR="00CD26BD">
              <w:rPr>
                <w:noProof/>
                <w:webHidden/>
              </w:rPr>
            </w:r>
            <w:r w:rsidR="00CD26BD">
              <w:rPr>
                <w:noProof/>
                <w:webHidden/>
              </w:rPr>
              <w:fldChar w:fldCharType="separate"/>
            </w:r>
            <w:r w:rsidR="003C4D8E">
              <w:rPr>
                <w:noProof/>
                <w:webHidden/>
              </w:rPr>
              <w:t>15</w:t>
            </w:r>
            <w:r w:rsidR="00CD26BD">
              <w:rPr>
                <w:noProof/>
                <w:webHidden/>
              </w:rPr>
              <w:fldChar w:fldCharType="end"/>
            </w:r>
          </w:hyperlink>
        </w:p>
        <w:p w:rsidR="00CD26BD" w:rsidRDefault="00FB6E35">
          <w:pPr>
            <w:pStyle w:val="TOC1"/>
            <w:tabs>
              <w:tab w:val="right" w:leader="dot" w:pos="9016"/>
            </w:tabs>
            <w:rPr>
              <w:noProof/>
              <w:lang w:val="en-US" w:eastAsia="en-US"/>
            </w:rPr>
          </w:pPr>
          <w:hyperlink w:anchor="_Toc492732296" w:history="1">
            <w:r w:rsidR="00CD26BD" w:rsidRPr="00177224">
              <w:rPr>
                <w:rStyle w:val="Hyperlink"/>
                <w:noProof/>
              </w:rPr>
              <w:t>8. The Lancaster Centre for Forecasting (LCF)</w:t>
            </w:r>
            <w:r w:rsidR="00CD26BD">
              <w:rPr>
                <w:noProof/>
                <w:webHidden/>
              </w:rPr>
              <w:tab/>
            </w:r>
            <w:r w:rsidR="00CD26BD">
              <w:rPr>
                <w:noProof/>
                <w:webHidden/>
              </w:rPr>
              <w:fldChar w:fldCharType="begin"/>
            </w:r>
            <w:r w:rsidR="00CD26BD">
              <w:rPr>
                <w:noProof/>
                <w:webHidden/>
              </w:rPr>
              <w:instrText xml:space="preserve"> PAGEREF _Toc492732296 \h </w:instrText>
            </w:r>
            <w:r w:rsidR="00CD26BD">
              <w:rPr>
                <w:noProof/>
                <w:webHidden/>
              </w:rPr>
            </w:r>
            <w:r w:rsidR="00CD26BD">
              <w:rPr>
                <w:noProof/>
                <w:webHidden/>
              </w:rPr>
              <w:fldChar w:fldCharType="separate"/>
            </w:r>
            <w:r w:rsidR="003C4D8E">
              <w:rPr>
                <w:noProof/>
                <w:webHidden/>
              </w:rPr>
              <w:t>16</w:t>
            </w:r>
            <w:r w:rsidR="00CD26BD">
              <w:rPr>
                <w:noProof/>
                <w:webHidden/>
              </w:rPr>
              <w:fldChar w:fldCharType="end"/>
            </w:r>
          </w:hyperlink>
        </w:p>
        <w:p w:rsidR="00CD26BD" w:rsidRDefault="00FB6E35">
          <w:pPr>
            <w:pStyle w:val="TOC1"/>
            <w:tabs>
              <w:tab w:val="right" w:leader="dot" w:pos="9016"/>
            </w:tabs>
            <w:rPr>
              <w:noProof/>
              <w:lang w:val="en-US" w:eastAsia="en-US"/>
            </w:rPr>
          </w:pPr>
          <w:hyperlink w:anchor="_Toc492732297" w:history="1">
            <w:r w:rsidR="00CD26BD" w:rsidRPr="00177224">
              <w:rPr>
                <w:rStyle w:val="Hyperlink"/>
                <w:noProof/>
              </w:rPr>
              <w:t>9. Appendix on parameter constraints</w:t>
            </w:r>
            <w:r w:rsidR="00CD26BD">
              <w:rPr>
                <w:noProof/>
                <w:webHidden/>
              </w:rPr>
              <w:tab/>
            </w:r>
            <w:r w:rsidR="00CD26BD">
              <w:rPr>
                <w:noProof/>
                <w:webHidden/>
              </w:rPr>
              <w:fldChar w:fldCharType="begin"/>
            </w:r>
            <w:r w:rsidR="00CD26BD">
              <w:rPr>
                <w:noProof/>
                <w:webHidden/>
              </w:rPr>
              <w:instrText xml:space="preserve"> PAGEREF _Toc492732297 \h </w:instrText>
            </w:r>
            <w:r w:rsidR="00CD26BD">
              <w:rPr>
                <w:noProof/>
                <w:webHidden/>
              </w:rPr>
            </w:r>
            <w:r w:rsidR="00CD26BD">
              <w:rPr>
                <w:noProof/>
                <w:webHidden/>
              </w:rPr>
              <w:fldChar w:fldCharType="separate"/>
            </w:r>
            <w:r w:rsidR="003C4D8E">
              <w:rPr>
                <w:noProof/>
                <w:webHidden/>
              </w:rPr>
              <w:t>17</w:t>
            </w:r>
            <w:r w:rsidR="00CD26BD">
              <w:rPr>
                <w:noProof/>
                <w:webHidden/>
              </w:rPr>
              <w:fldChar w:fldCharType="end"/>
            </w:r>
          </w:hyperlink>
        </w:p>
        <w:p w:rsidR="00CD26BD" w:rsidRDefault="00CD26BD">
          <w:r>
            <w:rPr>
              <w:b/>
              <w:bCs/>
              <w:noProof/>
            </w:rPr>
            <w:fldChar w:fldCharType="end"/>
          </w:r>
        </w:p>
      </w:sdtContent>
    </w:sdt>
    <w:p w:rsidR="00CD26BD" w:rsidRDefault="00CD26BD">
      <w:pPr>
        <w:rPr>
          <w:b/>
        </w:rPr>
      </w:pPr>
      <w:r>
        <w:rPr>
          <w:b/>
        </w:rPr>
        <w:br w:type="page"/>
      </w:r>
    </w:p>
    <w:p w:rsidR="00CD26BD" w:rsidRDefault="00CD26BD">
      <w:pPr>
        <w:rPr>
          <w:b/>
        </w:rPr>
      </w:pPr>
    </w:p>
    <w:p w:rsidR="00AE65C7" w:rsidRDefault="00AE65C7">
      <w:pPr>
        <w:rPr>
          <w:b/>
        </w:rPr>
      </w:pPr>
    </w:p>
    <w:p w:rsidR="005F34A0" w:rsidRPr="00CD26BD" w:rsidRDefault="00FD2294" w:rsidP="00CD26BD">
      <w:pPr>
        <w:pStyle w:val="Heading1"/>
      </w:pPr>
      <w:bookmarkStart w:id="0" w:name="_Toc492732282"/>
      <w:r>
        <w:t>Foreword</w:t>
      </w:r>
      <w:bookmarkEnd w:id="0"/>
    </w:p>
    <w:p w:rsidR="00FD2294" w:rsidRDefault="00FD2294" w:rsidP="00FD2294">
      <w:r>
        <w:t xml:space="preserve">This macro was developed, under the auspices of the Lancaster Centre for Forecasting and our supervision, by Mr. Young Ho Seo. The program is available to users of the book via the website. Instructors should go to </w:t>
      </w:r>
      <w:hyperlink r:id="rId8" w:history="1">
        <w:r w:rsidRPr="0027281A">
          <w:rPr>
            <w:rStyle w:val="Hyperlink"/>
          </w:rPr>
          <w:t>www.Wessexlearning.com/pobf2e</w:t>
        </w:r>
      </w:hyperlink>
      <w:r>
        <w:t xml:space="preserve"> and students should go to </w:t>
      </w:r>
      <w:hyperlink r:id="rId9" w:history="1">
        <w:r w:rsidRPr="0027281A">
          <w:rPr>
            <w:rStyle w:val="Hyperlink"/>
          </w:rPr>
          <w:t>www.Wessexlearning.org/pobf2e</w:t>
        </w:r>
      </w:hyperlink>
      <w:r>
        <w:t xml:space="preserve"> .</w:t>
      </w:r>
    </w:p>
    <w:p w:rsidR="005F34A0" w:rsidRDefault="00FD2294" w:rsidP="005F34A0">
      <w:r>
        <w:t>The program remains the sole property of the Lancaster Centre for Forecasting, which retains the copyright to the work. The program has been designed solely for educational purposes</w:t>
      </w:r>
      <w:r w:rsidR="004F576A">
        <w:t xml:space="preserve"> and should not be used commercially.</w:t>
      </w:r>
    </w:p>
    <w:p w:rsidR="005F34A0" w:rsidRDefault="005F34A0" w:rsidP="005F34A0"/>
    <w:p w:rsidR="005F34A0" w:rsidRDefault="005F34A0" w:rsidP="005F34A0"/>
    <w:p w:rsidR="005F34A0" w:rsidRDefault="005F34A0" w:rsidP="005F34A0"/>
    <w:p w:rsidR="005F34A0" w:rsidRDefault="005F34A0" w:rsidP="005F34A0"/>
    <w:p w:rsidR="005F34A0" w:rsidRPr="005F34A0" w:rsidRDefault="004F576A" w:rsidP="005F34A0">
      <w:r>
        <w:br w:type="page"/>
      </w:r>
    </w:p>
    <w:p w:rsidR="00243665" w:rsidRDefault="00243665" w:rsidP="00243665">
      <w:pPr>
        <w:pStyle w:val="Heading1"/>
      </w:pPr>
      <w:bookmarkStart w:id="1" w:name="_Toc492732283"/>
      <w:r>
        <w:lastRenderedPageBreak/>
        <w:t>1. Objective of Exponential Smoothing Macro (ESM)</w:t>
      </w:r>
      <w:bookmarkEnd w:id="1"/>
    </w:p>
    <w:p w:rsidR="00AE65C7" w:rsidRDefault="00482499" w:rsidP="00F06174">
      <w:pPr>
        <w:jc w:val="both"/>
      </w:pPr>
      <w:r>
        <w:t>The detailed calculations underlying exponential smoothing methods of forecasting are usually “hidden” from the user in</w:t>
      </w:r>
      <w:r w:rsidR="00243665">
        <w:t xml:space="preserve"> commercial software packages. Seeing such complex calculations may </w:t>
      </w:r>
      <w:r w:rsidR="004F576A">
        <w:t xml:space="preserve">not be </w:t>
      </w:r>
      <w:r w:rsidR="00243665">
        <w:t xml:space="preserve">important to the industrial user </w:t>
      </w:r>
      <w:r>
        <w:t>provided the</w:t>
      </w:r>
      <w:r w:rsidR="00243665">
        <w:t xml:space="preserve"> forecasting software</w:t>
      </w:r>
      <w:r>
        <w:t xml:space="preserve"> has been comprehensively</w:t>
      </w:r>
      <w:r w:rsidR="00243665">
        <w:t xml:space="preserve"> tested </w:t>
      </w:r>
      <w:r>
        <w:t>to ensure</w:t>
      </w:r>
      <w:r w:rsidR="00243665">
        <w:t xml:space="preserve"> reliability. However</w:t>
      </w:r>
      <w:r>
        <w:t>, for educational purposes it is instructive to see both the end results and how the methods work.</w:t>
      </w:r>
      <w:r w:rsidR="00243665">
        <w:t xml:space="preserve"> The Exponential Smoothing Macro (ESM) </w:t>
      </w:r>
      <w:r>
        <w:t xml:space="preserve">presents a range of exponential smoothing methods in an understandable form in a way that makes </w:t>
      </w:r>
      <w:r w:rsidR="00C232E0">
        <w:t xml:space="preserve">the </w:t>
      </w:r>
      <w:r>
        <w:t xml:space="preserve">forecasting process </w:t>
      </w:r>
      <w:r w:rsidR="00DA7BEB">
        <w:t xml:space="preserve">visible to the user. </w:t>
      </w:r>
      <w:r w:rsidR="00650A68">
        <w:t xml:space="preserve">Each </w:t>
      </w:r>
      <w:r>
        <w:t xml:space="preserve">step of the </w:t>
      </w:r>
      <w:r w:rsidR="00650A68">
        <w:t xml:space="preserve">calculation </w:t>
      </w:r>
      <w:r>
        <w:t xml:space="preserve">leading to the </w:t>
      </w:r>
      <w:r w:rsidR="00650A68">
        <w:t>forecast value</w:t>
      </w:r>
      <w:r>
        <w:t>s</w:t>
      </w:r>
      <w:r w:rsidR="00650A68">
        <w:t xml:space="preserve"> is </w:t>
      </w:r>
      <w:r w:rsidR="00724C0D">
        <w:t xml:space="preserve">readily </w:t>
      </w:r>
      <w:r w:rsidR="00650A68">
        <w:t>traceable</w:t>
      </w:r>
      <w:r>
        <w:t>.</w:t>
      </w:r>
      <w:r w:rsidR="00507884">
        <w:t xml:space="preserve"> The ESM</w:t>
      </w:r>
      <w:r w:rsidR="00B34A01">
        <w:t xml:space="preserve"> </w:t>
      </w:r>
      <w:r>
        <w:t xml:space="preserve">may also be used </w:t>
      </w:r>
      <w:r w:rsidR="00885C14">
        <w:t xml:space="preserve">to demonstrate the </w:t>
      </w:r>
      <w:r>
        <w:t xml:space="preserve">evaluation of a forecasting method using the concept of a </w:t>
      </w:r>
      <w:r w:rsidR="00885C14" w:rsidRPr="00482499">
        <w:rPr>
          <w:i/>
        </w:rPr>
        <w:t>rol</w:t>
      </w:r>
      <w:r w:rsidR="007D206C" w:rsidRPr="00482499">
        <w:rPr>
          <w:i/>
        </w:rPr>
        <w:t>ling origin</w:t>
      </w:r>
      <w:r>
        <w:t xml:space="preserve">. </w:t>
      </w:r>
      <w:r w:rsidR="007D206C">
        <w:t xml:space="preserve"> </w:t>
      </w:r>
      <w:r w:rsidR="00885C14">
        <w:t xml:space="preserve">The rolling origin </w:t>
      </w:r>
      <w:r w:rsidR="00F91E7C">
        <w:t xml:space="preserve">demonstration should </w:t>
      </w:r>
      <w:r w:rsidR="001A3FDC">
        <w:t>increase</w:t>
      </w:r>
      <w:r w:rsidR="00F91E7C">
        <w:t xml:space="preserve"> </w:t>
      </w:r>
      <w:r w:rsidR="001A3FDC">
        <w:t>users’</w:t>
      </w:r>
      <w:r w:rsidR="00F91E7C">
        <w:t xml:space="preserve"> </w:t>
      </w:r>
      <w:r w:rsidR="001A3FDC">
        <w:t>abi</w:t>
      </w:r>
      <w:r w:rsidR="007D206C">
        <w:t>lity to evaluate the accuracy</w:t>
      </w:r>
      <w:r w:rsidR="001A3FDC">
        <w:t xml:space="preserve"> of forecasting m</w:t>
      </w:r>
      <w:r>
        <w:t>ethods.</w:t>
      </w:r>
      <w:r w:rsidR="001A3FDC">
        <w:t xml:space="preserve"> </w:t>
      </w:r>
    </w:p>
    <w:p w:rsidR="00D84D1F" w:rsidRPr="00631522" w:rsidRDefault="00243665" w:rsidP="00BB0D0A">
      <w:pPr>
        <w:pStyle w:val="Heading1"/>
      </w:pPr>
      <w:bookmarkStart w:id="2" w:name="_Toc492732284"/>
      <w:r>
        <w:t>2</w:t>
      </w:r>
      <w:r w:rsidR="00631522" w:rsidRPr="00631522">
        <w:t xml:space="preserve">. </w:t>
      </w:r>
      <w:r w:rsidR="00D84D1F" w:rsidRPr="00631522">
        <w:t>Functionality</w:t>
      </w:r>
      <w:r w:rsidR="00B87016" w:rsidRPr="00631522">
        <w:t xml:space="preserve"> of Exponential Smoothing Macro</w:t>
      </w:r>
      <w:bookmarkEnd w:id="2"/>
    </w:p>
    <w:p w:rsidR="00A52EE9" w:rsidRDefault="00996409" w:rsidP="00AE3107">
      <w:pPr>
        <w:jc w:val="both"/>
      </w:pPr>
      <w:r>
        <w:t xml:space="preserve">The </w:t>
      </w:r>
      <w:r w:rsidR="00D84D1F">
        <w:t xml:space="preserve">Exponential Smoothing Macro was </w:t>
      </w:r>
      <w:r w:rsidR="00711DB7">
        <w:t xml:space="preserve">designed </w:t>
      </w:r>
      <w:r>
        <w:t xml:space="preserve">primarily as an educational tool </w:t>
      </w:r>
      <w:r w:rsidR="00F64BE1">
        <w:t>for time</w:t>
      </w:r>
      <w:r w:rsidR="00D84D1F">
        <w:t xml:space="preserve"> series forecasting</w:t>
      </w:r>
      <w:r>
        <w:t>.</w:t>
      </w:r>
      <w:r w:rsidR="002F2CFB">
        <w:t xml:space="preserve"> Execution tends to be slow for long series, but for a typical PC or laptop, the performance is typically acceptable for series with 300 or fewer observations.  </w:t>
      </w:r>
      <w:r w:rsidR="00B87016">
        <w:t>The macro is cap</w:t>
      </w:r>
      <w:r w:rsidR="00A52EE9">
        <w:t>able of generating</w:t>
      </w:r>
      <w:r w:rsidR="00B87016">
        <w:t xml:space="preserve"> </w:t>
      </w:r>
      <w:r>
        <w:t>forecasts using any of</w:t>
      </w:r>
      <w:r w:rsidR="004F576A">
        <w:t xml:space="preserve"> nine</w:t>
      </w:r>
      <w:r w:rsidR="00B87016">
        <w:t xml:space="preserve"> </w:t>
      </w:r>
      <w:r>
        <w:t>different exponential smoothing methods</w:t>
      </w:r>
      <w:r w:rsidR="00521BF0">
        <w:t>, listed below</w:t>
      </w:r>
      <w:r>
        <w:t xml:space="preserve">. </w:t>
      </w:r>
      <w:r w:rsidR="003103CA">
        <w:t xml:space="preserve"> </w:t>
      </w:r>
      <w:r w:rsidR="00521BF0">
        <w:t xml:space="preserve"> The</w:t>
      </w:r>
      <w:r w:rsidR="00CB0AD0">
        <w:t xml:space="preserve"> macro </w:t>
      </w:r>
      <w:r>
        <w:t>generates the forecasting equations</w:t>
      </w:r>
      <w:r w:rsidR="006D249F">
        <w:t xml:space="preserve"> </w:t>
      </w:r>
      <w:r w:rsidR="00521BF0">
        <w:t xml:space="preserve">in </w:t>
      </w:r>
      <w:r w:rsidR="006D249F">
        <w:t xml:space="preserve">either </w:t>
      </w:r>
      <w:r w:rsidR="00521BF0">
        <w:t>an</w:t>
      </w:r>
      <w:r w:rsidR="006D249F">
        <w:t xml:space="preserve"> error correction version or</w:t>
      </w:r>
      <w:r w:rsidR="003103CA">
        <w:t xml:space="preserve"> </w:t>
      </w:r>
      <w:r w:rsidR="00521BF0">
        <w:t xml:space="preserve">a </w:t>
      </w:r>
      <w:r w:rsidR="006D249F">
        <w:t>non</w:t>
      </w:r>
      <w:r w:rsidR="00F40C42">
        <w:t>-</w:t>
      </w:r>
      <w:r w:rsidR="006D249F">
        <w:t xml:space="preserve">error correction version </w:t>
      </w:r>
      <w:r w:rsidR="00804221">
        <w:t>in the spreadsheet</w:t>
      </w:r>
      <w:r w:rsidR="003103CA">
        <w:t>.</w:t>
      </w:r>
      <w:r w:rsidR="004B1378">
        <w:t xml:space="preserve"> </w:t>
      </w:r>
    </w:p>
    <w:p w:rsidR="00D84D1F" w:rsidRDefault="00A52EE9" w:rsidP="00AE3107">
      <w:pPr>
        <w:jc w:val="both"/>
      </w:pPr>
      <w:r>
        <w:t xml:space="preserve">The </w:t>
      </w:r>
      <w:r w:rsidR="004F576A">
        <w:t>nine</w:t>
      </w:r>
      <w:r>
        <w:t xml:space="preserve"> time series forecasting </w:t>
      </w:r>
      <w:r w:rsidR="00996409">
        <w:t>methods</w:t>
      </w:r>
      <w:r w:rsidR="00B87016">
        <w:t xml:space="preserve"> </w:t>
      </w:r>
      <w:r>
        <w:t>include</w:t>
      </w:r>
      <w:r w:rsidR="00B87016">
        <w:t>:</w:t>
      </w:r>
    </w:p>
    <w:p w:rsidR="00B87016" w:rsidRDefault="00B87016" w:rsidP="00AE3107">
      <w:pPr>
        <w:pStyle w:val="ListParagraph"/>
        <w:numPr>
          <w:ilvl w:val="0"/>
          <w:numId w:val="1"/>
        </w:numPr>
        <w:jc w:val="both"/>
      </w:pPr>
      <w:r>
        <w:t>Single exponential smoothing</w:t>
      </w:r>
      <w:r w:rsidR="00317BE9">
        <w:t xml:space="preserve"> (SES)</w:t>
      </w:r>
    </w:p>
    <w:p w:rsidR="004F576A" w:rsidRDefault="004F576A" w:rsidP="00AE3107">
      <w:pPr>
        <w:pStyle w:val="ListParagraph"/>
        <w:numPr>
          <w:ilvl w:val="0"/>
          <w:numId w:val="1"/>
        </w:numPr>
        <w:jc w:val="both"/>
      </w:pPr>
      <w:r>
        <w:t>Additive seasonal exponential smoothing (ASES)</w:t>
      </w:r>
    </w:p>
    <w:p w:rsidR="004F576A" w:rsidRDefault="004F576A" w:rsidP="00AE3107">
      <w:pPr>
        <w:pStyle w:val="ListParagraph"/>
        <w:numPr>
          <w:ilvl w:val="0"/>
          <w:numId w:val="1"/>
        </w:numPr>
        <w:jc w:val="both"/>
      </w:pPr>
      <w:r>
        <w:t>Multiplicative seasonal exponential smoothing (MSES)</w:t>
      </w:r>
    </w:p>
    <w:p w:rsidR="00B87016" w:rsidRDefault="004F576A" w:rsidP="00AE3107">
      <w:pPr>
        <w:pStyle w:val="ListParagraph"/>
        <w:numPr>
          <w:ilvl w:val="0"/>
          <w:numId w:val="1"/>
        </w:numPr>
        <w:jc w:val="both"/>
      </w:pPr>
      <w:r>
        <w:t xml:space="preserve">Additive </w:t>
      </w:r>
      <w:r w:rsidR="00B87016">
        <w:t>trend exponential smoothing</w:t>
      </w:r>
      <w:r>
        <w:t xml:space="preserve"> (A</w:t>
      </w:r>
      <w:r w:rsidR="00317BE9">
        <w:t>TES</w:t>
      </w:r>
      <w:r>
        <w:t>; Holt’s method</w:t>
      </w:r>
      <w:r w:rsidR="00317BE9">
        <w:t>)</w:t>
      </w:r>
    </w:p>
    <w:p w:rsidR="00B87016" w:rsidRDefault="00B87016" w:rsidP="00AE3107">
      <w:pPr>
        <w:pStyle w:val="ListParagraph"/>
        <w:numPr>
          <w:ilvl w:val="0"/>
          <w:numId w:val="1"/>
        </w:numPr>
        <w:jc w:val="both"/>
      </w:pPr>
      <w:r>
        <w:t xml:space="preserve">Damped </w:t>
      </w:r>
      <w:r w:rsidR="004F576A">
        <w:t xml:space="preserve">additive </w:t>
      </w:r>
      <w:r>
        <w:t xml:space="preserve">trend exponential smoothing </w:t>
      </w:r>
      <w:r w:rsidR="00317BE9">
        <w:t>(D</w:t>
      </w:r>
      <w:r w:rsidR="004F576A">
        <w:t>A</w:t>
      </w:r>
      <w:r w:rsidR="00317BE9">
        <w:t>TES)</w:t>
      </w:r>
    </w:p>
    <w:p w:rsidR="00B87016" w:rsidRDefault="004F576A" w:rsidP="00AE3107">
      <w:pPr>
        <w:pStyle w:val="ListParagraph"/>
        <w:numPr>
          <w:ilvl w:val="0"/>
          <w:numId w:val="1"/>
        </w:numPr>
        <w:jc w:val="both"/>
      </w:pPr>
      <w:r>
        <w:t>Additive</w:t>
      </w:r>
      <w:r w:rsidR="00B87016">
        <w:t xml:space="preserve"> t</w:t>
      </w:r>
      <w:r w:rsidR="00F40C42">
        <w:t>r</w:t>
      </w:r>
      <w:r w:rsidR="00B87016">
        <w:t>end additive seasonal exponential smoothing</w:t>
      </w:r>
      <w:r w:rsidR="00317BE9">
        <w:t xml:space="preserve"> (</w:t>
      </w:r>
      <w:r>
        <w:t>ATA</w:t>
      </w:r>
      <w:r w:rsidR="00317BE9">
        <w:t>SES</w:t>
      </w:r>
      <w:r>
        <w:t>; Additive Holt-Winters’ method)</w:t>
      </w:r>
      <w:r w:rsidR="00317BE9">
        <w:t>)</w:t>
      </w:r>
    </w:p>
    <w:p w:rsidR="00B87016" w:rsidRDefault="004F576A" w:rsidP="00AE3107">
      <w:pPr>
        <w:pStyle w:val="ListParagraph"/>
        <w:numPr>
          <w:ilvl w:val="0"/>
          <w:numId w:val="1"/>
        </w:numPr>
        <w:jc w:val="both"/>
      </w:pPr>
      <w:r>
        <w:t xml:space="preserve">Additive </w:t>
      </w:r>
      <w:r w:rsidR="00B87016">
        <w:t>t</w:t>
      </w:r>
      <w:r w:rsidR="00F40C42">
        <w:t>r</w:t>
      </w:r>
      <w:r w:rsidR="00B87016">
        <w:t xml:space="preserve">end multiplicative seasonal exponential smoothing </w:t>
      </w:r>
      <w:r w:rsidR="00317BE9">
        <w:t>(</w:t>
      </w:r>
      <w:r>
        <w:t>A</w:t>
      </w:r>
      <w:r w:rsidR="00317BE9">
        <w:t>TMSES</w:t>
      </w:r>
      <w:r>
        <w:t>; Multiplicative Holt-Winters’ method</w:t>
      </w:r>
      <w:r w:rsidR="00317BE9">
        <w:t>)</w:t>
      </w:r>
    </w:p>
    <w:p w:rsidR="00B87016" w:rsidRDefault="00B87016" w:rsidP="00AE3107">
      <w:pPr>
        <w:pStyle w:val="ListParagraph"/>
        <w:numPr>
          <w:ilvl w:val="0"/>
          <w:numId w:val="1"/>
        </w:numPr>
        <w:jc w:val="both"/>
      </w:pPr>
      <w:r>
        <w:t>Damped</w:t>
      </w:r>
      <w:r w:rsidR="004F576A">
        <w:t xml:space="preserve"> additive </w:t>
      </w:r>
      <w:r>
        <w:t>t</w:t>
      </w:r>
      <w:r w:rsidR="00F40C42">
        <w:t>r</w:t>
      </w:r>
      <w:r>
        <w:t xml:space="preserve">end additive seasonal exponential smoothing </w:t>
      </w:r>
      <w:r w:rsidR="00317BE9">
        <w:t>(D</w:t>
      </w:r>
      <w:r w:rsidR="004F576A">
        <w:t>A</w:t>
      </w:r>
      <w:r w:rsidR="00317BE9">
        <w:t>TASES)</w:t>
      </w:r>
    </w:p>
    <w:p w:rsidR="00A52EE9" w:rsidRDefault="00B87016" w:rsidP="00AE3107">
      <w:pPr>
        <w:pStyle w:val="ListParagraph"/>
        <w:numPr>
          <w:ilvl w:val="0"/>
          <w:numId w:val="1"/>
        </w:numPr>
        <w:jc w:val="both"/>
      </w:pPr>
      <w:r>
        <w:t xml:space="preserve">Damped </w:t>
      </w:r>
      <w:r w:rsidR="004F576A">
        <w:t xml:space="preserve">additive </w:t>
      </w:r>
      <w:r>
        <w:t>t</w:t>
      </w:r>
      <w:r w:rsidR="00F40C42">
        <w:t>r</w:t>
      </w:r>
      <w:r>
        <w:t xml:space="preserve">end multiplicative seasonal exponential </w:t>
      </w:r>
      <w:r w:rsidR="00F64BE1">
        <w:t>smoothing (</w:t>
      </w:r>
      <w:r w:rsidR="00317BE9">
        <w:t>D</w:t>
      </w:r>
      <w:r w:rsidR="004F576A">
        <w:t>A</w:t>
      </w:r>
      <w:r w:rsidR="00317BE9">
        <w:t>TMSES)</w:t>
      </w:r>
      <w:r>
        <w:t>.</w:t>
      </w:r>
    </w:p>
    <w:p w:rsidR="004D5DA1" w:rsidRDefault="005C0A82" w:rsidP="005B1297">
      <w:pPr>
        <w:jc w:val="both"/>
      </w:pPr>
      <w:r>
        <w:t>The seasonal methods</w:t>
      </w:r>
      <w:r w:rsidR="006D56E5">
        <w:t xml:space="preserve"> are designed to forecast</w:t>
      </w:r>
      <w:r>
        <w:t xml:space="preserve"> </w:t>
      </w:r>
      <w:r w:rsidR="006D56E5">
        <w:t xml:space="preserve">a series with </w:t>
      </w:r>
      <w:r>
        <w:t>q</w:t>
      </w:r>
      <w:r w:rsidR="006D56E5">
        <w:t>uarterly (seasonal cycle = 4),</w:t>
      </w:r>
      <w:r>
        <w:t xml:space="preserve"> </w:t>
      </w:r>
      <w:r w:rsidR="00F64BE1">
        <w:t>monthly (</w:t>
      </w:r>
      <w:r>
        <w:t xml:space="preserve">seasonal cycle = 12) </w:t>
      </w:r>
      <w:r w:rsidR="006D56E5">
        <w:t xml:space="preserve">or any other seasonal cycle of integer length. </w:t>
      </w:r>
      <w:r w:rsidR="00F64BE1">
        <w:t>Logarithmic and</w:t>
      </w:r>
      <w:r w:rsidR="00A52EE9">
        <w:t xml:space="preserve"> Box-Cox transformation</w:t>
      </w:r>
      <w:r w:rsidR="00B53ADB">
        <w:t>s may</w:t>
      </w:r>
      <w:r w:rsidR="00A52EE9">
        <w:t xml:space="preserve"> be performed as a</w:t>
      </w:r>
      <w:r w:rsidR="00B10901">
        <w:t>n integrated step</w:t>
      </w:r>
      <w:r w:rsidR="00A52EE9">
        <w:t xml:space="preserve"> in the forecasting process.</w:t>
      </w:r>
      <w:r w:rsidR="00AE3107">
        <w:t xml:space="preserve"> </w:t>
      </w:r>
      <w:r w:rsidR="006D56E5">
        <w:t>The</w:t>
      </w:r>
      <w:r w:rsidR="00B53ADB">
        <w:t xml:space="preserve"> ESM </w:t>
      </w:r>
      <w:r w:rsidR="006D56E5">
        <w:t xml:space="preserve">also </w:t>
      </w:r>
      <w:r w:rsidR="00B53ADB">
        <w:t>provides a demonstration of the use of a</w:t>
      </w:r>
      <w:r w:rsidR="00AE3107">
        <w:t xml:space="preserve"> rolling origin </w:t>
      </w:r>
      <w:r w:rsidR="00B53ADB">
        <w:t xml:space="preserve">to evaluate forecasting performance, </w:t>
      </w:r>
      <w:r w:rsidR="00AE3107">
        <w:t xml:space="preserve">for both </w:t>
      </w:r>
      <w:r w:rsidR="00B53ADB">
        <w:t xml:space="preserve">the </w:t>
      </w:r>
      <w:r w:rsidR="00AE3107">
        <w:t>single exponential smoothing and linear trend exponential smoothing methods.</w:t>
      </w:r>
      <w:r w:rsidR="00FB6E35">
        <w:t xml:space="preserve"> </w:t>
      </w:r>
      <w:r w:rsidR="006D56E5">
        <w:t>Finally the macro provides a procedure for a preliminary seasonality check.</w:t>
      </w:r>
    </w:p>
    <w:p w:rsidR="00711DB7" w:rsidRDefault="00243665" w:rsidP="00BB0D0A">
      <w:pPr>
        <w:pStyle w:val="Heading1"/>
      </w:pPr>
      <w:bookmarkStart w:id="3" w:name="_Toc492732285"/>
      <w:r>
        <w:lastRenderedPageBreak/>
        <w:t>3</w:t>
      </w:r>
      <w:r w:rsidR="00631522" w:rsidRPr="00631522">
        <w:t xml:space="preserve">. </w:t>
      </w:r>
      <w:r w:rsidR="00711DB7" w:rsidRPr="00631522">
        <w:t>Requirement</w:t>
      </w:r>
      <w:r w:rsidR="00CD26BD">
        <w:t>s for running</w:t>
      </w:r>
      <w:r w:rsidR="001B0472" w:rsidRPr="00631522">
        <w:t xml:space="preserve"> the</w:t>
      </w:r>
      <w:r w:rsidR="00566425">
        <w:t xml:space="preserve"> ESM</w:t>
      </w:r>
      <w:bookmarkEnd w:id="3"/>
    </w:p>
    <w:p w:rsidR="003629E0" w:rsidRDefault="002F2CFB">
      <w:pPr>
        <w:pStyle w:val="Heading2"/>
      </w:pPr>
      <w:bookmarkStart w:id="4" w:name="_Toc492732286"/>
      <w:r>
        <w:t>3.1 Using MS-Excel 2007</w:t>
      </w:r>
      <w:bookmarkEnd w:id="4"/>
    </w:p>
    <w:p w:rsidR="00711DB7" w:rsidRDefault="00566425" w:rsidP="00317BE9">
      <w:pPr>
        <w:jc w:val="both"/>
      </w:pPr>
      <w:r>
        <w:t>The ESM</w:t>
      </w:r>
      <w:r w:rsidR="00317BE9">
        <w:t xml:space="preserve"> was created </w:t>
      </w:r>
      <w:r w:rsidR="006D56E5">
        <w:t>using</w:t>
      </w:r>
      <w:r w:rsidR="004D5DA1">
        <w:t xml:space="preserve"> </w:t>
      </w:r>
      <w:r w:rsidR="00317BE9">
        <w:t xml:space="preserve">MS-Excel 2007. Therefore, </w:t>
      </w:r>
      <w:r w:rsidR="00996CE9">
        <w:t>the ESM</w:t>
      </w:r>
      <w:r w:rsidR="006B5F1C">
        <w:t xml:space="preserve"> will perform</w:t>
      </w:r>
      <w:r w:rsidR="00317BE9">
        <w:t xml:space="preserve"> the best</w:t>
      </w:r>
      <w:r w:rsidR="0034775E">
        <w:t xml:space="preserve"> in the MS-Excel 2007</w:t>
      </w:r>
      <w:r w:rsidR="002F2CFB">
        <w:t xml:space="preserve"> </w:t>
      </w:r>
      <w:r w:rsidR="006D56E5">
        <w:t xml:space="preserve">environment </w:t>
      </w:r>
      <w:r w:rsidR="00BA13A4">
        <w:t>but may</w:t>
      </w:r>
      <w:r w:rsidR="00317BE9">
        <w:t xml:space="preserve"> </w:t>
      </w:r>
      <w:r w:rsidR="002F2CFB">
        <w:t xml:space="preserve">also </w:t>
      </w:r>
      <w:r w:rsidR="00317BE9">
        <w:t>work in previou</w:t>
      </w:r>
      <w:r w:rsidR="00BB77E1">
        <w:t>s version</w:t>
      </w:r>
      <w:r w:rsidR="002F2CFB">
        <w:t>s</w:t>
      </w:r>
      <w:r w:rsidR="00BB77E1">
        <w:t xml:space="preserve"> of MS-Excel</w:t>
      </w:r>
      <w:r w:rsidR="002F2CFB">
        <w:t>.</w:t>
      </w:r>
      <w:r w:rsidR="00E830C0">
        <w:t xml:space="preserve"> </w:t>
      </w:r>
      <w:r w:rsidR="004D5DA1">
        <w:t>To run the macro</w:t>
      </w:r>
      <w:r w:rsidR="00BA13A4">
        <w:t>, Solver</w:t>
      </w:r>
      <w:r w:rsidR="004D5DA1">
        <w:t xml:space="preserve"> must be</w:t>
      </w:r>
      <w:r w:rsidR="00862842">
        <w:t xml:space="preserve"> preinstalled in MS-Excel</w:t>
      </w:r>
      <w:r w:rsidR="004D5DA1">
        <w:t>. If not, please follow the steps below:</w:t>
      </w:r>
    </w:p>
    <w:p w:rsidR="004D5DA1" w:rsidRDefault="004D5DA1" w:rsidP="004D5DA1">
      <w:pPr>
        <w:pStyle w:val="ListParagraph"/>
        <w:numPr>
          <w:ilvl w:val="0"/>
          <w:numId w:val="1"/>
        </w:numPr>
        <w:jc w:val="both"/>
      </w:pPr>
      <w:r>
        <w:t>Go to “Excel Options” and click “Add-Ins”</w:t>
      </w:r>
    </w:p>
    <w:p w:rsidR="004D5DA1" w:rsidRDefault="006D56E5" w:rsidP="004D5DA1">
      <w:pPr>
        <w:pStyle w:val="ListParagraph"/>
        <w:numPr>
          <w:ilvl w:val="0"/>
          <w:numId w:val="1"/>
        </w:numPr>
        <w:jc w:val="both"/>
      </w:pPr>
      <w:r>
        <w:t>Click the “G</w:t>
      </w:r>
      <w:r w:rsidR="004D5DA1">
        <w:t xml:space="preserve">o” </w:t>
      </w:r>
      <w:r w:rsidR="00BF64C3">
        <w:t>button right next to</w:t>
      </w:r>
      <w:r>
        <w:t xml:space="preserve"> the</w:t>
      </w:r>
      <w:r w:rsidR="00BF64C3">
        <w:t xml:space="preserve"> “Manage” label (make sure “Excel Add-Ins”</w:t>
      </w:r>
      <w:r>
        <w:t xml:space="preserve"> is selected before you click the “G</w:t>
      </w:r>
      <w:r w:rsidR="00BF64C3">
        <w:t>o” button)</w:t>
      </w:r>
    </w:p>
    <w:p w:rsidR="00BF64C3" w:rsidRDefault="00BF64C3" w:rsidP="004D5DA1">
      <w:pPr>
        <w:pStyle w:val="ListParagraph"/>
        <w:numPr>
          <w:ilvl w:val="0"/>
          <w:numId w:val="1"/>
        </w:numPr>
        <w:jc w:val="both"/>
      </w:pPr>
      <w:r>
        <w:t>In the “Add-Ins” pop up window,</w:t>
      </w:r>
      <w:r w:rsidR="00CC7A90">
        <w:t xml:space="preserve"> check the box</w:t>
      </w:r>
      <w:r>
        <w:t xml:space="preserve"> for the “Solver Add-In”</w:t>
      </w:r>
    </w:p>
    <w:p w:rsidR="004D5DA1" w:rsidRDefault="00BF64C3" w:rsidP="00317BE9">
      <w:pPr>
        <w:pStyle w:val="ListParagraph"/>
        <w:numPr>
          <w:ilvl w:val="0"/>
          <w:numId w:val="1"/>
        </w:numPr>
        <w:jc w:val="both"/>
      </w:pPr>
      <w:r>
        <w:t>If the “Solver Add-In” is successfully installed, then you should be able to see “Solver” in the analysis section under “</w:t>
      </w:r>
      <w:r w:rsidR="00CC7A90">
        <w:t>D</w:t>
      </w:r>
      <w:r>
        <w:t>ata” tab</w:t>
      </w:r>
    </w:p>
    <w:p w:rsidR="002F2CFB" w:rsidRDefault="002F2CFB" w:rsidP="002F2CFB">
      <w:pPr>
        <w:pStyle w:val="Heading2"/>
      </w:pPr>
      <w:bookmarkStart w:id="5" w:name="_Toc492732287"/>
      <w:r>
        <w:t>3.2 Using MS-Excel 2010</w:t>
      </w:r>
      <w:bookmarkEnd w:id="5"/>
    </w:p>
    <w:p w:rsidR="003629E0" w:rsidRDefault="00CC7A90">
      <w:r>
        <w:t>To preinstall Solver, proceed as follows:</w:t>
      </w:r>
    </w:p>
    <w:p w:rsidR="00CC7A90" w:rsidRDefault="00CC7A90" w:rsidP="00CC7A90">
      <w:pPr>
        <w:pStyle w:val="ListParagraph"/>
        <w:numPr>
          <w:ilvl w:val="0"/>
          <w:numId w:val="1"/>
        </w:numPr>
        <w:jc w:val="both"/>
      </w:pPr>
      <w:r>
        <w:t>Click on “File” and select “Options”</w:t>
      </w:r>
    </w:p>
    <w:p w:rsidR="00CC7A90" w:rsidRDefault="00CC7A90" w:rsidP="00CC7A90">
      <w:pPr>
        <w:pStyle w:val="ListParagraph"/>
        <w:numPr>
          <w:ilvl w:val="0"/>
          <w:numId w:val="1"/>
        </w:numPr>
        <w:jc w:val="both"/>
      </w:pPr>
      <w:r>
        <w:t>In “Excel Options” click “Add-Ins”</w:t>
      </w:r>
    </w:p>
    <w:p w:rsidR="00CC7A90" w:rsidRDefault="006D56E5" w:rsidP="00CC7A90">
      <w:pPr>
        <w:pStyle w:val="ListParagraph"/>
        <w:numPr>
          <w:ilvl w:val="0"/>
          <w:numId w:val="1"/>
        </w:numPr>
        <w:jc w:val="both"/>
      </w:pPr>
      <w:r>
        <w:t>Click the “G</w:t>
      </w:r>
      <w:r w:rsidR="00CC7A90">
        <w:t xml:space="preserve">o” button right next to </w:t>
      </w:r>
      <w:r>
        <w:t xml:space="preserve">the </w:t>
      </w:r>
      <w:r w:rsidR="00CC7A90">
        <w:t xml:space="preserve">“Manage” label (make sure “Excel Add-Ins” is selected before you click </w:t>
      </w:r>
      <w:r>
        <w:t>the “G</w:t>
      </w:r>
      <w:r w:rsidR="00CC7A90">
        <w:t>o” button)</w:t>
      </w:r>
    </w:p>
    <w:p w:rsidR="00CC7A90" w:rsidRDefault="00CC7A90" w:rsidP="00CC7A90">
      <w:pPr>
        <w:pStyle w:val="ListParagraph"/>
        <w:numPr>
          <w:ilvl w:val="0"/>
          <w:numId w:val="1"/>
        </w:numPr>
        <w:jc w:val="both"/>
      </w:pPr>
      <w:r>
        <w:t>In the “Add-Ins” pop up window, check the box for the “Solver Add-In”</w:t>
      </w:r>
    </w:p>
    <w:p w:rsidR="003629E0" w:rsidRDefault="00CC7A90" w:rsidP="006D56E5">
      <w:pPr>
        <w:pStyle w:val="ListParagraph"/>
        <w:numPr>
          <w:ilvl w:val="0"/>
          <w:numId w:val="1"/>
        </w:numPr>
        <w:jc w:val="both"/>
      </w:pPr>
      <w:r>
        <w:t>If the “Solver Add-In” is successfully installed, then you should be able to see “Solver” in the analysis section under “Data” tab</w:t>
      </w:r>
    </w:p>
    <w:p w:rsidR="003629E0" w:rsidRDefault="00CC7A90">
      <w:pPr>
        <w:pStyle w:val="Heading2"/>
      </w:pPr>
      <w:bookmarkStart w:id="6" w:name="_Toc492732288"/>
      <w:r>
        <w:t>3.3 VBA requirements to run the ESM</w:t>
      </w:r>
      <w:bookmarkEnd w:id="6"/>
    </w:p>
    <w:p w:rsidR="000541BD" w:rsidRDefault="00CC7A90" w:rsidP="00317BE9">
      <w:pPr>
        <w:jc w:val="both"/>
      </w:pPr>
      <w:r>
        <w:t>S</w:t>
      </w:r>
      <w:r w:rsidR="000541BD">
        <w:t>ix VBA references are used for the macro</w:t>
      </w:r>
      <w:r>
        <w:t>:</w:t>
      </w:r>
    </w:p>
    <w:p w:rsidR="000541BD" w:rsidRDefault="000541BD" w:rsidP="000541BD">
      <w:pPr>
        <w:pStyle w:val="ListParagraph"/>
        <w:numPr>
          <w:ilvl w:val="0"/>
          <w:numId w:val="1"/>
        </w:numPr>
        <w:jc w:val="both"/>
      </w:pPr>
      <w:r>
        <w:t>Visual basic for applications</w:t>
      </w:r>
    </w:p>
    <w:p w:rsidR="000541BD" w:rsidRDefault="000541BD" w:rsidP="000541BD">
      <w:pPr>
        <w:pStyle w:val="ListParagraph"/>
        <w:numPr>
          <w:ilvl w:val="0"/>
          <w:numId w:val="1"/>
        </w:numPr>
        <w:jc w:val="both"/>
      </w:pPr>
      <w:r>
        <w:t>Microsoft Excel 12.0 Object library</w:t>
      </w:r>
    </w:p>
    <w:p w:rsidR="000541BD" w:rsidRDefault="000541BD" w:rsidP="000541BD">
      <w:pPr>
        <w:pStyle w:val="ListParagraph"/>
        <w:numPr>
          <w:ilvl w:val="0"/>
          <w:numId w:val="1"/>
        </w:numPr>
        <w:jc w:val="both"/>
      </w:pPr>
      <w:r>
        <w:t>OLE automation</w:t>
      </w:r>
    </w:p>
    <w:p w:rsidR="000541BD" w:rsidRDefault="000541BD" w:rsidP="000541BD">
      <w:pPr>
        <w:pStyle w:val="ListParagraph"/>
        <w:numPr>
          <w:ilvl w:val="0"/>
          <w:numId w:val="1"/>
        </w:numPr>
        <w:jc w:val="both"/>
      </w:pPr>
      <w:r>
        <w:t>Microsoft Office 12.0 Object library</w:t>
      </w:r>
    </w:p>
    <w:p w:rsidR="000541BD" w:rsidRDefault="000541BD" w:rsidP="000541BD">
      <w:pPr>
        <w:pStyle w:val="ListParagraph"/>
        <w:numPr>
          <w:ilvl w:val="0"/>
          <w:numId w:val="1"/>
        </w:numPr>
        <w:jc w:val="both"/>
      </w:pPr>
      <w:r>
        <w:t>Solver</w:t>
      </w:r>
    </w:p>
    <w:p w:rsidR="000541BD" w:rsidRDefault="000541BD" w:rsidP="00317BE9">
      <w:pPr>
        <w:pStyle w:val="ListParagraph"/>
        <w:numPr>
          <w:ilvl w:val="0"/>
          <w:numId w:val="1"/>
        </w:numPr>
        <w:jc w:val="both"/>
      </w:pPr>
      <w:r>
        <w:t>Microsoft Forms 2.0 Object librar</w:t>
      </w:r>
      <w:r w:rsidR="009054AF">
        <w:t>y</w:t>
      </w:r>
    </w:p>
    <w:p w:rsidR="006D56E5" w:rsidRDefault="006D56E5">
      <w:r>
        <w:br w:type="page"/>
      </w:r>
    </w:p>
    <w:p w:rsidR="00631522" w:rsidRPr="00631522" w:rsidRDefault="00405B3B" w:rsidP="00BB0D0A">
      <w:pPr>
        <w:pStyle w:val="Heading1"/>
      </w:pPr>
      <w:bookmarkStart w:id="7" w:name="_Toc492732289"/>
      <w:r>
        <w:lastRenderedPageBreak/>
        <w:t>4</w:t>
      </w:r>
      <w:r w:rsidR="00631522" w:rsidRPr="00631522">
        <w:t xml:space="preserve">. </w:t>
      </w:r>
      <w:r w:rsidR="009F3557">
        <w:t xml:space="preserve">How to use </w:t>
      </w:r>
      <w:r w:rsidR="00866309">
        <w:t xml:space="preserve">the </w:t>
      </w:r>
      <w:r w:rsidR="009F3557">
        <w:t>Exponential Smoothing Macro</w:t>
      </w:r>
      <w:bookmarkEnd w:id="7"/>
    </w:p>
    <w:p w:rsidR="00EE08C1" w:rsidRPr="00317BE9" w:rsidRDefault="00405B3B" w:rsidP="00BB0D0A">
      <w:pPr>
        <w:pStyle w:val="Heading2"/>
      </w:pPr>
      <w:bookmarkStart w:id="8" w:name="_Toc492732290"/>
      <w:r>
        <w:t>4</w:t>
      </w:r>
      <w:r w:rsidR="00A46ACA">
        <w:t>.</w:t>
      </w:r>
      <w:r w:rsidR="00631522">
        <w:t>1</w:t>
      </w:r>
      <w:r w:rsidR="00A46ACA">
        <w:t xml:space="preserve"> </w:t>
      </w:r>
      <w:r w:rsidR="00280F59">
        <w:t>Introduction to the Graphical User Interface (GUI)</w:t>
      </w:r>
      <w:bookmarkEnd w:id="8"/>
    </w:p>
    <w:p w:rsidR="006E2D88" w:rsidRDefault="00C27F8D" w:rsidP="003321E4">
      <w:pPr>
        <w:jc w:val="both"/>
      </w:pPr>
      <w:r>
        <w:t>The Graphical User Interface</w:t>
      </w:r>
      <w:r w:rsidR="00CE2353">
        <w:t xml:space="preserve"> (GUI) is provided to access all the macros in</w:t>
      </w:r>
      <w:r>
        <w:t xml:space="preserve"> </w:t>
      </w:r>
      <w:r w:rsidR="00CE2353">
        <w:t>the ESM</w:t>
      </w:r>
      <w:r>
        <w:t>. Therefo</w:t>
      </w:r>
      <w:r w:rsidR="00317DF2">
        <w:t>re</w:t>
      </w:r>
      <w:r w:rsidR="00B742CF">
        <w:t>,</w:t>
      </w:r>
      <w:r w:rsidR="00317DF2">
        <w:t xml:space="preserve"> </w:t>
      </w:r>
      <w:r>
        <w:t>user</w:t>
      </w:r>
      <w:r w:rsidR="00317DF2">
        <w:t>s</w:t>
      </w:r>
      <w:r>
        <w:t xml:space="preserve"> without any knowle</w:t>
      </w:r>
      <w:r w:rsidR="005D3AE0">
        <w:t xml:space="preserve">dge </w:t>
      </w:r>
      <w:r w:rsidR="00CC7A90">
        <w:t>of macro</w:t>
      </w:r>
      <w:r w:rsidR="005D3AE0">
        <w:t xml:space="preserve"> programming can</w:t>
      </w:r>
      <w:r w:rsidR="00CC7A90">
        <w:t xml:space="preserve"> make full</w:t>
      </w:r>
      <w:r w:rsidR="005D3AE0">
        <w:t xml:space="preserve"> use </w:t>
      </w:r>
      <w:r w:rsidR="00CC7A90">
        <w:t>of</w:t>
      </w:r>
      <w:r w:rsidR="005D3AE0">
        <w:t xml:space="preserve"> the ESM</w:t>
      </w:r>
      <w:r>
        <w:t xml:space="preserve">. The GUI can be called by clicking </w:t>
      </w:r>
      <w:r w:rsidR="006E2D88">
        <w:t>the gr</w:t>
      </w:r>
      <w:r w:rsidR="00CC7A90">
        <w:t>a</w:t>
      </w:r>
      <w:r w:rsidR="006E2D88">
        <w:t>y button called “Graphical User Interface (GUI)” in the “Exponential Smoothing Macro” sheet</w:t>
      </w:r>
      <w:r w:rsidR="00684EF2">
        <w:t xml:space="preserve"> (</w:t>
      </w:r>
      <w:r w:rsidR="004E5323">
        <w:fldChar w:fldCharType="begin"/>
      </w:r>
      <w:r w:rsidR="00684EF2">
        <w:instrText xml:space="preserve"> REF _Ref325031331 \h </w:instrText>
      </w:r>
      <w:r w:rsidR="004E5323">
        <w:fldChar w:fldCharType="separate"/>
      </w:r>
      <w:r w:rsidR="003C4D8E" w:rsidRPr="00A822B3">
        <w:t xml:space="preserve">Screenshot </w:t>
      </w:r>
      <w:r w:rsidR="003C4D8E">
        <w:rPr>
          <w:noProof/>
        </w:rPr>
        <w:t>1</w:t>
      </w:r>
      <w:r w:rsidR="004E5323">
        <w:fldChar w:fldCharType="end"/>
      </w:r>
      <w:r w:rsidR="00FF73C7">
        <w:t>)</w:t>
      </w:r>
      <w:r w:rsidR="006E2D88">
        <w:t>.</w:t>
      </w:r>
      <w:r w:rsidR="00317DF2">
        <w:t xml:space="preserve"> </w:t>
      </w:r>
    </w:p>
    <w:p w:rsidR="00684EF2" w:rsidRPr="00684EF2" w:rsidRDefault="00684EF2" w:rsidP="00684EF2">
      <w:pPr>
        <w:jc w:val="center"/>
        <w:rPr>
          <w:b/>
        </w:rPr>
      </w:pPr>
      <w:r>
        <w:rPr>
          <w:b/>
          <w:noProof/>
          <w:lang w:val="en-US" w:eastAsia="en-US"/>
        </w:rPr>
        <w:drawing>
          <wp:inline distT="0" distB="0" distL="0" distR="0" wp14:anchorId="3349E73A" wp14:editId="353870D1">
            <wp:extent cx="2333951" cy="1247619"/>
            <wp:effectExtent l="19050" t="0" r="9199"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2333951" cy="1247619"/>
                    </a:xfrm>
                    <a:prstGeom prst="rect">
                      <a:avLst/>
                    </a:prstGeom>
                    <a:noFill/>
                    <a:ln w="9525">
                      <a:noFill/>
                      <a:miter lim="800000"/>
                      <a:headEnd/>
                      <a:tailEnd/>
                    </a:ln>
                  </pic:spPr>
                </pic:pic>
              </a:graphicData>
            </a:graphic>
          </wp:inline>
        </w:drawing>
      </w:r>
    </w:p>
    <w:p w:rsidR="00684EF2" w:rsidRPr="00A822B3" w:rsidRDefault="00684EF2" w:rsidP="00684EF2">
      <w:pPr>
        <w:pStyle w:val="Caption"/>
        <w:rPr>
          <w:szCs w:val="22"/>
        </w:rPr>
      </w:pPr>
      <w:bookmarkStart w:id="9" w:name="_Ref325031331"/>
      <w:r w:rsidRPr="00A822B3">
        <w:rPr>
          <w:szCs w:val="22"/>
        </w:rPr>
        <w:t xml:space="preserve">Screenshot </w:t>
      </w:r>
      <w:r w:rsidR="004E5323" w:rsidRPr="00A822B3">
        <w:rPr>
          <w:szCs w:val="22"/>
        </w:rPr>
        <w:fldChar w:fldCharType="begin"/>
      </w:r>
      <w:r w:rsidRPr="00A822B3">
        <w:rPr>
          <w:szCs w:val="22"/>
        </w:rPr>
        <w:instrText xml:space="preserve"> SEQ Screenshot \* ARABIC </w:instrText>
      </w:r>
      <w:r w:rsidR="004E5323" w:rsidRPr="00A822B3">
        <w:rPr>
          <w:szCs w:val="22"/>
        </w:rPr>
        <w:fldChar w:fldCharType="separate"/>
      </w:r>
      <w:r w:rsidR="003C4D8E">
        <w:rPr>
          <w:noProof/>
          <w:szCs w:val="22"/>
        </w:rPr>
        <w:t>1</w:t>
      </w:r>
      <w:r w:rsidR="004E5323" w:rsidRPr="00A822B3">
        <w:rPr>
          <w:szCs w:val="22"/>
        </w:rPr>
        <w:fldChar w:fldCharType="end"/>
      </w:r>
      <w:bookmarkEnd w:id="9"/>
    </w:p>
    <w:p w:rsidR="00684EF2" w:rsidRDefault="006D56E5" w:rsidP="003321E4">
      <w:pPr>
        <w:jc w:val="both"/>
      </w:pPr>
      <w:r>
        <w:t>An alternative way to call the GUI is to execute the “LaunchMain” macro using M-Excel’s built-in Macro Execution window</w:t>
      </w:r>
      <w:r w:rsidR="004C399B">
        <w:t xml:space="preserve"> (Screenshot 2</w:t>
      </w:r>
      <w:r w:rsidR="00B742CF">
        <w:t>)</w:t>
      </w:r>
      <w:r>
        <w:t>.</w:t>
      </w:r>
      <w:r w:rsidR="004C399B">
        <w:t xml:space="preserve"> The steps are:</w:t>
      </w:r>
    </w:p>
    <w:p w:rsidR="004C399B" w:rsidRDefault="004C399B" w:rsidP="004C399B">
      <w:pPr>
        <w:pStyle w:val="ListParagraph"/>
        <w:numPr>
          <w:ilvl w:val="0"/>
          <w:numId w:val="11"/>
        </w:numPr>
        <w:jc w:val="both"/>
      </w:pPr>
      <w:r>
        <w:t>Click the “Developer” tab</w:t>
      </w:r>
    </w:p>
    <w:p w:rsidR="004C399B" w:rsidRDefault="004C399B" w:rsidP="004C399B">
      <w:pPr>
        <w:pStyle w:val="ListParagraph"/>
        <w:numPr>
          <w:ilvl w:val="0"/>
          <w:numId w:val="11"/>
        </w:numPr>
        <w:jc w:val="both"/>
      </w:pPr>
      <w:r>
        <w:t>Click the “Macros” button in the “Code” section</w:t>
      </w:r>
    </w:p>
    <w:p w:rsidR="004C399B" w:rsidRDefault="004C399B" w:rsidP="004C399B">
      <w:pPr>
        <w:pStyle w:val="ListParagraph"/>
        <w:numPr>
          <w:ilvl w:val="0"/>
          <w:numId w:val="11"/>
        </w:numPr>
        <w:jc w:val="both"/>
      </w:pPr>
      <w:r>
        <w:t>When the Macro Execution window pops up, select the “LaunchMain” macro</w:t>
      </w:r>
    </w:p>
    <w:p w:rsidR="004C399B" w:rsidRDefault="004C399B" w:rsidP="004C399B">
      <w:pPr>
        <w:pStyle w:val="ListParagraph"/>
        <w:numPr>
          <w:ilvl w:val="0"/>
          <w:numId w:val="11"/>
        </w:numPr>
        <w:jc w:val="both"/>
      </w:pPr>
      <w:r>
        <w:t>Hit the “Run” button</w:t>
      </w:r>
    </w:p>
    <w:p w:rsidR="006D56E5" w:rsidRDefault="006D56E5" w:rsidP="003321E4">
      <w:pPr>
        <w:jc w:val="both"/>
      </w:pPr>
      <w:r w:rsidRPr="006D56E5">
        <w:rPr>
          <w:noProof/>
        </w:rPr>
        <w:drawing>
          <wp:inline distT="0" distB="0" distL="0" distR="0">
            <wp:extent cx="4321834" cy="31427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9986" cy="3148704"/>
                    </a:xfrm>
                    <a:prstGeom prst="rect">
                      <a:avLst/>
                    </a:prstGeom>
                    <a:noFill/>
                    <a:ln>
                      <a:noFill/>
                    </a:ln>
                  </pic:spPr>
                </pic:pic>
              </a:graphicData>
            </a:graphic>
          </wp:inline>
        </w:drawing>
      </w:r>
    </w:p>
    <w:p w:rsidR="004C399B" w:rsidRPr="004C399B" w:rsidRDefault="004C399B" w:rsidP="004C399B">
      <w:pPr>
        <w:jc w:val="center"/>
        <w:rPr>
          <w:b/>
        </w:rPr>
      </w:pPr>
      <w:r w:rsidRPr="004C399B">
        <w:rPr>
          <w:b/>
        </w:rPr>
        <w:t>Screenshot 2</w:t>
      </w:r>
    </w:p>
    <w:p w:rsidR="004C399B" w:rsidRDefault="004C399B" w:rsidP="005E50F4"/>
    <w:p w:rsidR="005E50F4" w:rsidRDefault="00724EC5" w:rsidP="005E50F4">
      <w:r>
        <w:lastRenderedPageBreak/>
        <w:t xml:space="preserve">The </w:t>
      </w:r>
      <w:r w:rsidR="003321E4">
        <w:t xml:space="preserve">GUI </w:t>
      </w:r>
      <w:r w:rsidR="00DC3869">
        <w:t>consists of 5</w:t>
      </w:r>
      <w:r w:rsidR="00AE65C7">
        <w:t xml:space="preserve"> tabs</w:t>
      </w:r>
      <w:r w:rsidR="00684EF2">
        <w:t xml:space="preserve"> (</w:t>
      </w:r>
      <w:r w:rsidR="00A43646">
        <w:fldChar w:fldCharType="begin"/>
      </w:r>
      <w:r w:rsidR="00A43646">
        <w:instrText xml:space="preserve"> REF _Ref325031349 \h  \* MERGEFORMAT </w:instrText>
      </w:r>
      <w:r w:rsidR="00A43646">
        <w:fldChar w:fldCharType="separate"/>
      </w:r>
      <w:r w:rsidR="003C4D8E">
        <w:t xml:space="preserve">Screenshot </w:t>
      </w:r>
      <w:r w:rsidR="00A43646">
        <w:fldChar w:fldCharType="end"/>
      </w:r>
      <w:r w:rsidR="005E2533">
        <w:t>3</w:t>
      </w:r>
      <w:r w:rsidR="00FF73C7">
        <w:t>)</w:t>
      </w:r>
      <w:r w:rsidR="00AE65C7">
        <w:t xml:space="preserve">. </w:t>
      </w:r>
      <w:bookmarkStart w:id="10" w:name="_GoBack"/>
      <w:bookmarkEnd w:id="10"/>
    </w:p>
    <w:p w:rsidR="00F92656" w:rsidRDefault="004C399B" w:rsidP="004C399B">
      <w:r w:rsidRPr="004C399B">
        <w:rPr>
          <w:noProof/>
        </w:rPr>
        <w:drawing>
          <wp:inline distT="0" distB="0" distL="0" distR="0">
            <wp:extent cx="4597879" cy="333923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0731" cy="3341303"/>
                    </a:xfrm>
                    <a:prstGeom prst="rect">
                      <a:avLst/>
                    </a:prstGeom>
                    <a:noFill/>
                    <a:ln>
                      <a:noFill/>
                    </a:ln>
                  </pic:spPr>
                </pic:pic>
              </a:graphicData>
            </a:graphic>
          </wp:inline>
        </w:drawing>
      </w:r>
    </w:p>
    <w:p w:rsidR="005E50F4" w:rsidRPr="005E50F4" w:rsidRDefault="00A822B3" w:rsidP="00C610A7">
      <w:pPr>
        <w:pStyle w:val="Caption"/>
        <w:rPr>
          <w:noProof/>
        </w:rPr>
      </w:pPr>
      <w:bookmarkStart w:id="11" w:name="_Ref325031349"/>
      <w:r>
        <w:t xml:space="preserve">Screenshot </w:t>
      </w:r>
      <w:bookmarkEnd w:id="11"/>
      <w:r w:rsidR="004C399B">
        <w:t>3</w:t>
      </w:r>
    </w:p>
    <w:p w:rsidR="005E50F4" w:rsidRDefault="005E50F4" w:rsidP="005E50F4">
      <w:r>
        <w:t>Brief descriptions for each tab are given below:</w:t>
      </w:r>
    </w:p>
    <w:p w:rsidR="005E50F4" w:rsidRDefault="005E50F4" w:rsidP="005E50F4">
      <w:pPr>
        <w:pStyle w:val="ListParagraph"/>
        <w:numPr>
          <w:ilvl w:val="0"/>
          <w:numId w:val="1"/>
        </w:numPr>
      </w:pPr>
      <w:r>
        <w:t>“</w:t>
      </w:r>
      <w:r w:rsidR="00C610A7">
        <w:t>Forecasting Setup</w:t>
      </w:r>
      <w:r>
        <w:t>” tab –use this tab to load the time series data, define the s</w:t>
      </w:r>
      <w:r w:rsidR="00E21B0A">
        <w:t>e</w:t>
      </w:r>
      <w:r>
        <w:t>t-up for charts, and to select a format for wr</w:t>
      </w:r>
      <w:r w:rsidR="00DC3869">
        <w:t>iting out the forecast function.</w:t>
      </w:r>
    </w:p>
    <w:p w:rsidR="005E50F4" w:rsidRDefault="005E50F4" w:rsidP="005E50F4">
      <w:pPr>
        <w:pStyle w:val="ListParagraph"/>
      </w:pPr>
    </w:p>
    <w:p w:rsidR="005E50F4" w:rsidRDefault="005E50F4" w:rsidP="005E50F4">
      <w:pPr>
        <w:pStyle w:val="ListParagraph"/>
        <w:numPr>
          <w:ilvl w:val="0"/>
          <w:numId w:val="1"/>
        </w:numPr>
      </w:pPr>
      <w:r>
        <w:t>“</w:t>
      </w:r>
      <w:r w:rsidR="00C610A7">
        <w:t>E</w:t>
      </w:r>
      <w:r>
        <w:t>xponential</w:t>
      </w:r>
      <w:r w:rsidR="00C610A7">
        <w:t xml:space="preserve"> smoothing</w:t>
      </w:r>
      <w:r>
        <w:t xml:space="preserve">” tab -  controls the model settings for </w:t>
      </w:r>
      <w:r w:rsidR="00C610A7">
        <w:t>the nine</w:t>
      </w:r>
      <w:r>
        <w:t xml:space="preserve"> exponential smoothing </w:t>
      </w:r>
      <w:r w:rsidR="00C610A7">
        <w:t>methods as well as the logarithmic and Box-Cox transformations.</w:t>
      </w:r>
    </w:p>
    <w:p w:rsidR="005E50F4" w:rsidRDefault="005E50F4" w:rsidP="005E50F4">
      <w:pPr>
        <w:pStyle w:val="ListParagraph"/>
      </w:pPr>
    </w:p>
    <w:p w:rsidR="00DC3869" w:rsidRDefault="00DC3869" w:rsidP="00DC3869">
      <w:pPr>
        <w:pStyle w:val="ListParagraph"/>
        <w:numPr>
          <w:ilvl w:val="0"/>
          <w:numId w:val="1"/>
        </w:numPr>
      </w:pPr>
      <w:r>
        <w:t>“Rolling Origin Evaluation” tab – provides a demonstration of the rolling origin evaluation approach using single exponential smoothing (SES) and additive trend exponential smoothing (ATES).</w:t>
      </w:r>
    </w:p>
    <w:p w:rsidR="00DC3869" w:rsidRDefault="00DC3869" w:rsidP="00DC3869">
      <w:pPr>
        <w:pStyle w:val="ListParagraph"/>
      </w:pPr>
    </w:p>
    <w:p w:rsidR="00DC3869" w:rsidRDefault="00DC3869" w:rsidP="00DC3869">
      <w:pPr>
        <w:pStyle w:val="ListParagraph"/>
        <w:numPr>
          <w:ilvl w:val="0"/>
          <w:numId w:val="1"/>
        </w:numPr>
        <w:jc w:val="both"/>
      </w:pPr>
      <w:r>
        <w:t xml:space="preserve"> </w:t>
      </w:r>
      <w:r w:rsidR="005E50F4">
        <w:t>“</w:t>
      </w:r>
      <w:r>
        <w:t>Seasonality Check”</w:t>
      </w:r>
      <w:r w:rsidR="005E50F4">
        <w:t xml:space="preserve"> tab –</w:t>
      </w:r>
      <w:r>
        <w:t xml:space="preserve"> provides a means of inspecting seasonality graphically. </w:t>
      </w:r>
      <w:r w:rsidR="005E50F4">
        <w:t xml:space="preserve"> </w:t>
      </w:r>
    </w:p>
    <w:p w:rsidR="00DC3869" w:rsidRDefault="00DC3869" w:rsidP="00DC3869">
      <w:pPr>
        <w:pStyle w:val="ListParagraph"/>
      </w:pPr>
    </w:p>
    <w:p w:rsidR="00DC3869" w:rsidRDefault="00DC3869" w:rsidP="00DC3869">
      <w:pPr>
        <w:pStyle w:val="ListParagraph"/>
        <w:numPr>
          <w:ilvl w:val="0"/>
          <w:numId w:val="1"/>
        </w:numPr>
      </w:pPr>
      <w:r>
        <w:t>“About LCF” tab – provides general information about the Lancaster Centre for Forecasting (LCF).</w:t>
      </w:r>
    </w:p>
    <w:p w:rsidR="00DC3869" w:rsidRDefault="00DC3869" w:rsidP="00DC3869">
      <w:pPr>
        <w:pStyle w:val="ListParagraph"/>
        <w:ind w:left="360"/>
        <w:jc w:val="both"/>
      </w:pPr>
    </w:p>
    <w:p w:rsidR="00280F59" w:rsidRPr="00317BE9" w:rsidRDefault="00405B3B" w:rsidP="00BB0D0A">
      <w:pPr>
        <w:pStyle w:val="Heading2"/>
      </w:pPr>
      <w:bookmarkStart w:id="12" w:name="_Toc492732291"/>
      <w:r>
        <w:t>4</w:t>
      </w:r>
      <w:r w:rsidR="00631522">
        <w:t xml:space="preserve">.2 </w:t>
      </w:r>
      <w:r w:rsidR="00C3284B">
        <w:t>Time series data</w:t>
      </w:r>
      <w:bookmarkEnd w:id="12"/>
    </w:p>
    <w:p w:rsidR="00C57245" w:rsidRDefault="005E50F4" w:rsidP="00C11D47">
      <w:pPr>
        <w:jc w:val="both"/>
      </w:pPr>
      <w:r>
        <w:t>The</w:t>
      </w:r>
      <w:r w:rsidR="00C57245">
        <w:t xml:space="preserve"> forecasting model</w:t>
      </w:r>
      <w:r w:rsidR="00EC6DDB">
        <w:t xml:space="preserve"> is developed </w:t>
      </w:r>
      <w:r w:rsidR="00BA13A4">
        <w:t>using time</w:t>
      </w:r>
      <w:r w:rsidR="00DC3144">
        <w:t xml:space="preserve"> series data</w:t>
      </w:r>
      <w:r w:rsidR="00EC6DDB">
        <w:t>.</w:t>
      </w:r>
      <w:r w:rsidR="00DC3144">
        <w:t xml:space="preserve"> </w:t>
      </w:r>
      <w:r w:rsidR="00EC6DDB">
        <w:t>For</w:t>
      </w:r>
      <w:r w:rsidR="00DC3144">
        <w:t xml:space="preserve"> </w:t>
      </w:r>
      <w:r w:rsidR="00C57245">
        <w:t>example</w:t>
      </w:r>
      <w:r w:rsidR="00EC6DDB">
        <w:t xml:space="preserve">, the data might relate to </w:t>
      </w:r>
      <w:r w:rsidR="00CF6C5C">
        <w:t>the sales</w:t>
      </w:r>
      <w:r w:rsidR="00B742CF">
        <w:t xml:space="preserve"> </w:t>
      </w:r>
      <w:r w:rsidR="00DC3144">
        <w:t>history of a product,</w:t>
      </w:r>
      <w:r w:rsidR="00C57245">
        <w:t xml:space="preserve"> </w:t>
      </w:r>
      <w:r w:rsidR="00EC6DDB">
        <w:t xml:space="preserve">daily closing prices of a major stock, macroeconomic series such as quarterly GDP, </w:t>
      </w:r>
      <w:r w:rsidR="00834389">
        <w:t xml:space="preserve">electricity </w:t>
      </w:r>
      <w:r w:rsidR="00EC6DDB">
        <w:t xml:space="preserve">consumption (often recoded at 15-minute intervals) or annual rainfall. </w:t>
      </w:r>
      <w:r w:rsidR="00C57245">
        <w:t xml:space="preserve"> </w:t>
      </w:r>
      <w:r w:rsidR="00DD4A04">
        <w:t>The Exponential Smoothing M</w:t>
      </w:r>
      <w:r w:rsidR="00CF6C5C">
        <w:t xml:space="preserve">acro workbook contains four </w:t>
      </w:r>
      <w:r w:rsidR="00115FF6">
        <w:t xml:space="preserve">sample time </w:t>
      </w:r>
      <w:r w:rsidR="00BA13A4">
        <w:t>series so</w:t>
      </w:r>
      <w:r w:rsidR="00EC6DDB">
        <w:t xml:space="preserve"> that the user can </w:t>
      </w:r>
      <w:r w:rsidR="00BA13A4">
        <w:t>experiment with</w:t>
      </w:r>
      <w:r w:rsidR="00C3284B">
        <w:t xml:space="preserve"> different forecasting methods</w:t>
      </w:r>
      <w:r w:rsidR="00EC6DDB">
        <w:t xml:space="preserve"> (Screenshot </w:t>
      </w:r>
      <w:r w:rsidR="008C7E68">
        <w:t>4</w:t>
      </w:r>
      <w:r w:rsidR="00EC6DDB">
        <w:t>)</w:t>
      </w:r>
      <w:r w:rsidR="00115FF6">
        <w:t xml:space="preserve">. </w:t>
      </w:r>
    </w:p>
    <w:p w:rsidR="001A0724" w:rsidRDefault="008C7E68" w:rsidP="001A0724">
      <w:pPr>
        <w:jc w:val="center"/>
      </w:pPr>
      <w:r w:rsidRPr="008C7E68">
        <w:rPr>
          <w:noProof/>
        </w:rPr>
        <w:lastRenderedPageBreak/>
        <w:drawing>
          <wp:inline distT="0" distB="0" distL="0" distR="0">
            <wp:extent cx="5731510" cy="29897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989795"/>
                    </a:xfrm>
                    <a:prstGeom prst="rect">
                      <a:avLst/>
                    </a:prstGeom>
                    <a:noFill/>
                    <a:ln>
                      <a:noFill/>
                    </a:ln>
                  </pic:spPr>
                </pic:pic>
              </a:graphicData>
            </a:graphic>
          </wp:inline>
        </w:drawing>
      </w:r>
    </w:p>
    <w:p w:rsidR="00C3284B" w:rsidRDefault="00A822B3" w:rsidP="00A822B3">
      <w:pPr>
        <w:pStyle w:val="Caption"/>
      </w:pPr>
      <w:r>
        <w:t xml:space="preserve">Screenshot </w:t>
      </w:r>
      <w:r w:rsidR="008C7E68">
        <w:t>4</w:t>
      </w:r>
    </w:p>
    <w:p w:rsidR="008C7E68" w:rsidRPr="008C7E68" w:rsidRDefault="008C7E68" w:rsidP="008C7E68"/>
    <w:p w:rsidR="00115FF6" w:rsidRPr="008C7E68" w:rsidRDefault="00405B3B" w:rsidP="008C7E68">
      <w:pPr>
        <w:pStyle w:val="Heading2"/>
      </w:pPr>
      <w:bookmarkStart w:id="13" w:name="_Toc492732292"/>
      <w:r>
        <w:t>4</w:t>
      </w:r>
      <w:r w:rsidR="00C3284B">
        <w:t xml:space="preserve">.3 </w:t>
      </w:r>
      <w:r w:rsidR="00EC6DDB">
        <w:t>G</w:t>
      </w:r>
      <w:r w:rsidR="00C3284B">
        <w:t>enerat</w:t>
      </w:r>
      <w:r w:rsidR="00EC6DDB">
        <w:t>ing</w:t>
      </w:r>
      <w:r w:rsidR="00C3284B">
        <w:t xml:space="preserve"> the forecast</w:t>
      </w:r>
      <w:r w:rsidR="00EC6DDB">
        <w:t>s</w:t>
      </w:r>
      <w:bookmarkEnd w:id="13"/>
    </w:p>
    <w:p w:rsidR="00834389" w:rsidRDefault="00834389" w:rsidP="00C11D47">
      <w:pPr>
        <w:jc w:val="both"/>
      </w:pPr>
      <w:r>
        <w:t xml:space="preserve">In order to </w:t>
      </w:r>
      <w:r w:rsidR="0047758B">
        <w:t>generate the forecasts, proceed as follows:</w:t>
      </w:r>
      <w:r>
        <w:t xml:space="preserve"> </w:t>
      </w:r>
    </w:p>
    <w:p w:rsidR="00EC6DDB" w:rsidRDefault="00EC6DDB" w:rsidP="0047758B">
      <w:pPr>
        <w:pStyle w:val="ListParagraph"/>
        <w:numPr>
          <w:ilvl w:val="0"/>
          <w:numId w:val="8"/>
        </w:numPr>
        <w:spacing w:line="360" w:lineRule="auto"/>
        <w:jc w:val="both"/>
      </w:pPr>
      <w:r>
        <w:t>Copy the data s</w:t>
      </w:r>
      <w:r w:rsidR="008C7E68">
        <w:t>ets(s) of interest into the ESM; any columns will do including overwriting the sample data sets already included.</w:t>
      </w:r>
    </w:p>
    <w:p w:rsidR="00834389" w:rsidRDefault="00AE6CBB" w:rsidP="0047758B">
      <w:pPr>
        <w:pStyle w:val="ListParagraph"/>
        <w:numPr>
          <w:ilvl w:val="0"/>
          <w:numId w:val="8"/>
        </w:numPr>
        <w:spacing w:line="360" w:lineRule="auto"/>
        <w:jc w:val="both"/>
      </w:pPr>
      <w:r>
        <w:t xml:space="preserve"> </w:t>
      </w:r>
      <w:r w:rsidR="00834389">
        <w:t>Load time series data in the “Load data” tab</w:t>
      </w:r>
      <w:r w:rsidR="00C04B1C">
        <w:t xml:space="preserve"> – click </w:t>
      </w:r>
      <w:r>
        <w:t xml:space="preserve">the </w:t>
      </w:r>
      <w:r w:rsidR="00C04B1C">
        <w:t xml:space="preserve">small button with </w:t>
      </w:r>
      <w:r>
        <w:t xml:space="preserve">the </w:t>
      </w:r>
      <w:r w:rsidR="00C04B1C">
        <w:t xml:space="preserve">underscore </w:t>
      </w:r>
      <w:r>
        <w:t>at th</w:t>
      </w:r>
      <w:r w:rsidR="008C7E68">
        <w:t>e right of the box (Screenshot 5</w:t>
      </w:r>
      <w:r>
        <w:t>)</w:t>
      </w:r>
    </w:p>
    <w:p w:rsidR="00BF7AE2" w:rsidRDefault="008C7E68" w:rsidP="00BF7AE2">
      <w:pPr>
        <w:jc w:val="both"/>
      </w:pPr>
      <w:r w:rsidRPr="008C7E68">
        <w:rPr>
          <w:noProof/>
        </w:rPr>
        <w:drawing>
          <wp:inline distT="0" distB="0" distL="0" distR="0">
            <wp:extent cx="5731510" cy="20342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2034210"/>
                    </a:xfrm>
                    <a:prstGeom prst="rect">
                      <a:avLst/>
                    </a:prstGeom>
                    <a:noFill/>
                    <a:ln>
                      <a:noFill/>
                    </a:ln>
                  </pic:spPr>
                </pic:pic>
              </a:graphicData>
            </a:graphic>
          </wp:inline>
        </w:drawing>
      </w:r>
    </w:p>
    <w:p w:rsidR="00BF7AE2" w:rsidRDefault="00BF7AE2" w:rsidP="00BF7AE2">
      <w:pPr>
        <w:jc w:val="center"/>
      </w:pPr>
    </w:p>
    <w:p w:rsidR="00BF7AE2" w:rsidRDefault="00BF7AE2" w:rsidP="00BF7AE2">
      <w:pPr>
        <w:pStyle w:val="Caption"/>
        <w:rPr>
          <w:noProof/>
        </w:rPr>
      </w:pPr>
      <w:r>
        <w:t xml:space="preserve">Screenshot </w:t>
      </w:r>
      <w:r w:rsidR="008C7E68">
        <w:t>5</w:t>
      </w:r>
    </w:p>
    <w:p w:rsidR="00BF7AE2" w:rsidRDefault="00BF7AE2" w:rsidP="00BF7AE2">
      <w:pPr>
        <w:jc w:val="both"/>
      </w:pPr>
    </w:p>
    <w:p w:rsidR="00BF7AE2" w:rsidRDefault="00BF7AE2" w:rsidP="00BF7AE2">
      <w:pPr>
        <w:jc w:val="both"/>
      </w:pPr>
    </w:p>
    <w:p w:rsidR="00BF7AE2" w:rsidRDefault="00AE6CBB" w:rsidP="0047758B">
      <w:pPr>
        <w:pStyle w:val="ListParagraph"/>
        <w:numPr>
          <w:ilvl w:val="0"/>
          <w:numId w:val="8"/>
        </w:numPr>
        <w:spacing w:line="360" w:lineRule="auto"/>
        <w:jc w:val="both"/>
      </w:pPr>
      <w:r>
        <w:t>This step returns you to the GUI. Hold the left mouse button down and scro</w:t>
      </w:r>
      <w:r w:rsidR="008C7E68">
        <w:t>ll down the dataset of interest</w:t>
      </w:r>
      <w:r>
        <w:t xml:space="preserve">.  The selected values </w:t>
      </w:r>
      <w:r w:rsidR="008C7E68">
        <w:t>are</w:t>
      </w:r>
      <w:r>
        <w:t xml:space="preserve"> record</w:t>
      </w:r>
      <w:r w:rsidR="008C7E68">
        <w:t>ed</w:t>
      </w:r>
      <w:r>
        <w:t xml:space="preserve"> in the pop-up box as shown in Screenshot </w:t>
      </w:r>
      <w:r w:rsidR="008C7E68">
        <w:t>6</w:t>
      </w:r>
      <w:r>
        <w:t>.</w:t>
      </w:r>
      <w:r w:rsidR="00BF7AE2">
        <w:t xml:space="preserve">  When the full data set has been identified, click on the icon on the right-hand side of the pop-up box. This a</w:t>
      </w:r>
      <w:r w:rsidR="008C7E68">
        <w:t>ction will return you to the “Forecasting Setup</w:t>
      </w:r>
      <w:r w:rsidR="00BF7AE2">
        <w:t>” screen.</w:t>
      </w:r>
    </w:p>
    <w:p w:rsidR="00BF7AE2" w:rsidRDefault="00BF7AE2" w:rsidP="00BF7AE2">
      <w:pPr>
        <w:jc w:val="both"/>
      </w:pPr>
    </w:p>
    <w:p w:rsidR="00BF7AE2" w:rsidRDefault="008C7E68" w:rsidP="00BF7AE2">
      <w:pPr>
        <w:jc w:val="both"/>
      </w:pPr>
      <w:r w:rsidRPr="008C7E68">
        <w:rPr>
          <w:noProof/>
        </w:rPr>
        <w:drawing>
          <wp:inline distT="0" distB="0" distL="0" distR="0">
            <wp:extent cx="5731510" cy="221967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2219677"/>
                    </a:xfrm>
                    <a:prstGeom prst="rect">
                      <a:avLst/>
                    </a:prstGeom>
                    <a:noFill/>
                    <a:ln>
                      <a:noFill/>
                    </a:ln>
                  </pic:spPr>
                </pic:pic>
              </a:graphicData>
            </a:graphic>
          </wp:inline>
        </w:drawing>
      </w:r>
    </w:p>
    <w:p w:rsidR="002157B5" w:rsidRDefault="002157B5" w:rsidP="002157B5">
      <w:pPr>
        <w:pStyle w:val="Caption"/>
      </w:pPr>
      <w:r>
        <w:t xml:space="preserve">Screenshot </w:t>
      </w:r>
      <w:r w:rsidR="008C7E68">
        <w:t>6</w:t>
      </w:r>
    </w:p>
    <w:p w:rsidR="002157B5" w:rsidRDefault="002157B5" w:rsidP="00BF7AE2">
      <w:pPr>
        <w:jc w:val="both"/>
      </w:pPr>
    </w:p>
    <w:p w:rsidR="002157B5" w:rsidRDefault="002157B5" w:rsidP="00BF7AE2">
      <w:pPr>
        <w:jc w:val="both"/>
      </w:pPr>
    </w:p>
    <w:p w:rsidR="00834389" w:rsidRDefault="002157B5" w:rsidP="0047758B">
      <w:pPr>
        <w:spacing w:line="360" w:lineRule="auto"/>
        <w:ind w:left="270" w:hanging="270"/>
        <w:contextualSpacing/>
        <w:jc w:val="both"/>
      </w:pPr>
      <w:r>
        <w:t xml:space="preserve">4.  </w:t>
      </w:r>
      <w:r w:rsidR="00BF7AE2">
        <w:t xml:space="preserve">Check the box for the heading if it is included in the range. </w:t>
      </w:r>
      <w:r w:rsidR="00834389">
        <w:t>S</w:t>
      </w:r>
      <w:r w:rsidR="00BF7AE2">
        <w:t>pecify the size of the holdout sample for out-</w:t>
      </w:r>
      <w:r w:rsidR="00834389">
        <w:t>of</w:t>
      </w:r>
      <w:r w:rsidR="00BF7AE2">
        <w:t>-</w:t>
      </w:r>
      <w:r w:rsidR="00834389">
        <w:t>sample validation</w:t>
      </w:r>
      <w:r w:rsidR="00BF7AE2">
        <w:t xml:space="preserve">. </w:t>
      </w:r>
      <w:r w:rsidR="00933ED9">
        <w:t>Set the forecasting horizon in the “</w:t>
      </w:r>
      <w:r w:rsidR="008C7E68">
        <w:t>Forecasting Setup</w:t>
      </w:r>
      <w:r w:rsidR="00933ED9">
        <w:t>” tab.</w:t>
      </w:r>
    </w:p>
    <w:p w:rsidR="00834389" w:rsidRDefault="002157B5" w:rsidP="0047758B">
      <w:pPr>
        <w:spacing w:line="360" w:lineRule="auto"/>
        <w:ind w:left="270" w:hanging="270"/>
        <w:contextualSpacing/>
        <w:jc w:val="both"/>
      </w:pPr>
      <w:r>
        <w:t xml:space="preserve">5.  </w:t>
      </w:r>
      <w:r w:rsidR="00933ED9">
        <w:t xml:space="preserve">Keep the check mark in the Chart Setup box if a plot of the actual and forecast values is required. The default settings for the Y and X coordinates will usually be adequate; if not try alternative settings. </w:t>
      </w:r>
    </w:p>
    <w:p w:rsidR="00933ED9" w:rsidRDefault="00933ED9" w:rsidP="00933ED9">
      <w:pPr>
        <w:spacing w:line="360" w:lineRule="auto"/>
        <w:ind w:left="360" w:hanging="360"/>
        <w:contextualSpacing/>
        <w:jc w:val="both"/>
      </w:pPr>
      <w:r>
        <w:t>6.  The forecasts may be generated using either the error correction forms of the updating equations or the non-error correc</w:t>
      </w:r>
      <w:r w:rsidR="008C7E68">
        <w:t>tion forms [see the text, pp. 78-79</w:t>
      </w:r>
      <w:r>
        <w:t>]</w:t>
      </w:r>
      <w:r w:rsidR="008C7E68">
        <w:t>.</w:t>
      </w:r>
      <w:r>
        <w:t xml:space="preserve"> The output is unaffected, but clicking on any of the forecast or state variable cells will show the appropriate form of the updating equation.</w:t>
      </w:r>
    </w:p>
    <w:p w:rsidR="006D25A1" w:rsidRDefault="00933ED9" w:rsidP="00933ED9">
      <w:pPr>
        <w:spacing w:line="360" w:lineRule="auto"/>
        <w:ind w:left="360" w:hanging="360"/>
        <w:contextualSpacing/>
        <w:jc w:val="both"/>
      </w:pPr>
      <w:r>
        <w:t>7</w:t>
      </w:r>
      <w:r w:rsidR="002157B5">
        <w:t xml:space="preserve">.  Select the </w:t>
      </w:r>
      <w:r w:rsidR="008C7E68">
        <w:t xml:space="preserve">“Exponential Smoothing” tab (Screenshot 7). </w:t>
      </w:r>
    </w:p>
    <w:p w:rsidR="0050463B" w:rsidRDefault="0050463B" w:rsidP="00933ED9">
      <w:pPr>
        <w:spacing w:line="360" w:lineRule="auto"/>
        <w:ind w:left="360" w:hanging="360"/>
        <w:contextualSpacing/>
        <w:jc w:val="both"/>
      </w:pPr>
      <w:r>
        <w:t>8. Specify the desired forecasting method by choosing the appropriate trend and seasonality. The selected model will always be displayed in the text box on the bottom of the screen.</w:t>
      </w:r>
    </w:p>
    <w:p w:rsidR="008C7E68" w:rsidRDefault="008C7E68" w:rsidP="00933ED9">
      <w:pPr>
        <w:spacing w:line="360" w:lineRule="auto"/>
        <w:ind w:left="360"/>
        <w:contextualSpacing/>
        <w:jc w:val="both"/>
      </w:pPr>
      <w:r w:rsidRPr="008C7E68">
        <w:rPr>
          <w:noProof/>
        </w:rPr>
        <w:lastRenderedPageBreak/>
        <w:drawing>
          <wp:inline distT="0" distB="0" distL="0" distR="0">
            <wp:extent cx="5175001" cy="359721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80565" cy="3601084"/>
                    </a:xfrm>
                    <a:prstGeom prst="rect">
                      <a:avLst/>
                    </a:prstGeom>
                    <a:noFill/>
                    <a:ln>
                      <a:noFill/>
                    </a:ln>
                  </pic:spPr>
                </pic:pic>
              </a:graphicData>
            </a:graphic>
          </wp:inline>
        </w:drawing>
      </w:r>
    </w:p>
    <w:p w:rsidR="0050463B" w:rsidRPr="0050463B" w:rsidRDefault="0050463B" w:rsidP="0050463B">
      <w:pPr>
        <w:spacing w:line="360" w:lineRule="auto"/>
        <w:ind w:left="360" w:hanging="360"/>
        <w:contextualSpacing/>
        <w:jc w:val="center"/>
        <w:rPr>
          <w:b/>
        </w:rPr>
      </w:pPr>
      <w:r w:rsidRPr="0050463B">
        <w:rPr>
          <w:b/>
        </w:rPr>
        <w:t>Screenshot 7</w:t>
      </w:r>
    </w:p>
    <w:p w:rsidR="0050463B" w:rsidRDefault="0050463B" w:rsidP="00933ED9">
      <w:pPr>
        <w:spacing w:line="360" w:lineRule="auto"/>
        <w:ind w:left="360" w:hanging="360"/>
        <w:contextualSpacing/>
        <w:jc w:val="both"/>
      </w:pPr>
    </w:p>
    <w:p w:rsidR="0050463B" w:rsidRDefault="00933ED9" w:rsidP="00933ED9">
      <w:pPr>
        <w:spacing w:line="360" w:lineRule="auto"/>
        <w:ind w:left="360" w:hanging="360"/>
        <w:contextualSpacing/>
        <w:jc w:val="both"/>
      </w:pPr>
      <w:r>
        <w:t>8</w:t>
      </w:r>
      <w:r w:rsidR="0050463B">
        <w:t>A</w:t>
      </w:r>
      <w:r w:rsidR="002157B5">
        <w:t xml:space="preserve">.   </w:t>
      </w:r>
      <w:r w:rsidR="0050463B">
        <w:t>If the SES method is selected (Trend = None, Seasonality = None), the starting value may be specified as the average of the first</w:t>
      </w:r>
      <w:r w:rsidR="0050463B" w:rsidRPr="0050463B">
        <w:rPr>
          <w:i/>
        </w:rPr>
        <w:t xml:space="preserve"> k</w:t>
      </w:r>
      <w:r w:rsidR="0050463B">
        <w:t xml:space="preserve"> observations (default </w:t>
      </w:r>
      <w:r w:rsidR="0050463B" w:rsidRPr="0050463B">
        <w:rPr>
          <w:i/>
        </w:rPr>
        <w:t>k</w:t>
      </w:r>
      <w:r w:rsidR="0050463B">
        <w:t xml:space="preserve">=1). </w:t>
      </w:r>
    </w:p>
    <w:p w:rsidR="0050463B" w:rsidRDefault="0050463B" w:rsidP="00933ED9">
      <w:pPr>
        <w:spacing w:line="360" w:lineRule="auto"/>
        <w:ind w:left="360" w:hanging="360"/>
        <w:contextualSpacing/>
        <w:jc w:val="both"/>
      </w:pPr>
      <w:r>
        <w:t>8B.  For any methods with seasonality, the seasonal cycle must be specified (12 for monthly data, 4 for quarterly data, or as appropriate).</w:t>
      </w:r>
    </w:p>
    <w:p w:rsidR="00BC4799" w:rsidRDefault="00933ED9" w:rsidP="00933ED9">
      <w:pPr>
        <w:spacing w:line="360" w:lineRule="auto"/>
        <w:ind w:left="360" w:hanging="360"/>
        <w:contextualSpacing/>
        <w:jc w:val="both"/>
      </w:pPr>
      <w:r>
        <w:t>9</w:t>
      </w:r>
      <w:r w:rsidR="0050463B">
        <w:t>.</w:t>
      </w:r>
      <w:r w:rsidR="0050463B">
        <w:tab/>
        <w:t>To apply a transformation, use the “Transform” box under the “Exponential Smoothing” tab to select either the logarithmic (log) or Box-Cox (C-transform) transformation. See Screenshot 7.</w:t>
      </w:r>
    </w:p>
    <w:p w:rsidR="00BC4799" w:rsidRDefault="00BC4799" w:rsidP="00933ED9">
      <w:pPr>
        <w:spacing w:line="360" w:lineRule="auto"/>
        <w:ind w:left="360" w:hanging="360"/>
        <w:contextualSpacing/>
        <w:jc w:val="both"/>
      </w:pPr>
      <w:r>
        <w:t>10.</w:t>
      </w:r>
      <w:r>
        <w:tab/>
        <w:t xml:space="preserve"> Either use the default values or specify initial values for the smoothing parameters.</w:t>
      </w:r>
    </w:p>
    <w:p w:rsidR="004B621A" w:rsidRDefault="00BC4799" w:rsidP="00BC4799">
      <w:pPr>
        <w:spacing w:line="360" w:lineRule="auto"/>
        <w:ind w:left="360" w:hanging="360"/>
        <w:contextualSpacing/>
        <w:jc w:val="both"/>
      </w:pPr>
      <w:r>
        <w:t>11.</w:t>
      </w:r>
      <w:r>
        <w:tab/>
      </w:r>
      <w:r w:rsidR="002157B5">
        <w:t xml:space="preserve">If the parameter values are unknown, use the </w:t>
      </w:r>
      <w:r w:rsidR="00E20BD7">
        <w:t xml:space="preserve">automatic parameter search option </w:t>
      </w:r>
      <w:r w:rsidR="009E4FE1">
        <w:t xml:space="preserve">by </w:t>
      </w:r>
      <w:r w:rsidR="002157B5">
        <w:t>ch</w:t>
      </w:r>
      <w:r>
        <w:t xml:space="preserve">oosing the appropriate optimization option in the optimizer setting. If the “Do not optimize” option is chosen, the initial parameter values will be used to generate the forecasts. </w:t>
      </w:r>
    </w:p>
    <w:p w:rsidR="00A23A41" w:rsidRDefault="00BC4799" w:rsidP="00933ED9">
      <w:pPr>
        <w:spacing w:line="360" w:lineRule="auto"/>
        <w:ind w:left="360" w:hanging="360"/>
        <w:contextualSpacing/>
        <w:jc w:val="both"/>
      </w:pPr>
      <w:r>
        <w:t>12</w:t>
      </w:r>
      <w:r w:rsidR="00F918C4">
        <w:t>. Hit the “Calculate” button to compute the forecasts.</w:t>
      </w:r>
    </w:p>
    <w:p w:rsidR="00CD45DD" w:rsidRDefault="00BC4799" w:rsidP="00933ED9">
      <w:pPr>
        <w:spacing w:line="360" w:lineRule="auto"/>
        <w:ind w:left="360" w:hanging="360"/>
        <w:contextualSpacing/>
        <w:jc w:val="both"/>
      </w:pPr>
      <w:r>
        <w:t>13</w:t>
      </w:r>
      <w:r w:rsidR="00CD45DD">
        <w:t>. To compute a new set of forecasts, s</w:t>
      </w:r>
      <w:r>
        <w:t xml:space="preserve">pecify the new forecasting method (if necessary), reset the various options and hit “Calculate“ again.  You do not need to reload the data. </w:t>
      </w:r>
      <w:r w:rsidR="00CD45DD">
        <w:t>elect the new tab (if necessary), reset the options and hit “Calculate” again.  You do not need to reload the data.</w:t>
      </w:r>
    </w:p>
    <w:p w:rsidR="00BC4799" w:rsidRDefault="00BC4799" w:rsidP="00933ED9">
      <w:pPr>
        <w:spacing w:line="360" w:lineRule="auto"/>
        <w:ind w:left="360" w:hanging="360"/>
        <w:contextualSpacing/>
        <w:jc w:val="both"/>
      </w:pPr>
    </w:p>
    <w:p w:rsidR="00BC4799" w:rsidRDefault="00BC4799" w:rsidP="00933ED9">
      <w:pPr>
        <w:spacing w:line="360" w:lineRule="auto"/>
        <w:ind w:left="360" w:hanging="360"/>
        <w:contextualSpacing/>
        <w:jc w:val="both"/>
      </w:pPr>
      <w:r>
        <w:t>USFUL HINT: If you wish to consider a range of methods for a series, do all the calculations first and then examine the output for each method.</w:t>
      </w:r>
      <w:r w:rsidR="00CF6C5C">
        <w:t xml:space="preserve"> That way, you only need to load the data once.</w:t>
      </w:r>
    </w:p>
    <w:p w:rsidR="00C3284B" w:rsidRDefault="00C3284B" w:rsidP="00C11D47">
      <w:pPr>
        <w:rPr>
          <w:b/>
        </w:rPr>
      </w:pPr>
    </w:p>
    <w:p w:rsidR="00C11D47" w:rsidRPr="001A0724" w:rsidRDefault="00F918C4" w:rsidP="0047758B">
      <w:pPr>
        <w:pStyle w:val="Heading1"/>
      </w:pPr>
      <w:bookmarkStart w:id="14" w:name="_Toc492732293"/>
      <w:r>
        <w:lastRenderedPageBreak/>
        <w:t xml:space="preserve">5. Using the </w:t>
      </w:r>
      <w:r w:rsidR="001A0724">
        <w:t>damped trend exponential smoothing m</w:t>
      </w:r>
      <w:r w:rsidR="0047758B">
        <w:t>ethod with a</w:t>
      </w:r>
      <w:r w:rsidR="001A0724">
        <w:t xml:space="preserve"> log</w:t>
      </w:r>
      <w:r w:rsidR="0047758B">
        <w:t>arithmic</w:t>
      </w:r>
      <w:r w:rsidR="001A0724">
        <w:t xml:space="preserve"> transformation</w:t>
      </w:r>
      <w:r w:rsidR="0047758B">
        <w:t>: A demonstration</w:t>
      </w:r>
      <w:bookmarkEnd w:id="14"/>
    </w:p>
    <w:p w:rsidR="00C11D47" w:rsidRDefault="00C11D47" w:rsidP="00C11D47">
      <w:pPr>
        <w:jc w:val="both"/>
      </w:pPr>
      <w:r>
        <w:t>T</w:t>
      </w:r>
      <w:r w:rsidR="00436297">
        <w:t xml:space="preserve">he </w:t>
      </w:r>
      <w:r>
        <w:t>damped</w:t>
      </w:r>
      <w:r w:rsidR="00436297">
        <w:t xml:space="preserve"> trend exponential smoothing (</w:t>
      </w:r>
      <w:r>
        <w:t>D</w:t>
      </w:r>
      <w:r w:rsidR="00BC4799">
        <w:t>A</w:t>
      </w:r>
      <w:r w:rsidR="00436297">
        <w:t>TES) method</w:t>
      </w:r>
      <w:r>
        <w:t xml:space="preserve"> with </w:t>
      </w:r>
      <w:r w:rsidR="0047758B">
        <w:t xml:space="preserve">a </w:t>
      </w:r>
      <w:r>
        <w:t>log transformation</w:t>
      </w:r>
      <w:r w:rsidR="00436297">
        <w:t xml:space="preserve"> will be demonstrated</w:t>
      </w:r>
      <w:r>
        <w:t xml:space="preserve"> for “Qsales” data</w:t>
      </w:r>
      <w:r w:rsidR="00436297">
        <w:t>.</w:t>
      </w:r>
      <w:r>
        <w:t xml:space="preserve"> In the “Load data” tab, the “Qsales” data </w:t>
      </w:r>
      <w:r w:rsidR="00C851F8">
        <w:t xml:space="preserve">range </w:t>
      </w:r>
      <w:r>
        <w:t>was selected. Then the number of</w:t>
      </w:r>
      <w:r w:rsidR="002649C7">
        <w:t xml:space="preserve"> holdout sample was</w:t>
      </w:r>
      <w:r w:rsidR="0047758B">
        <w:t xml:space="preserve"> set at</w:t>
      </w:r>
      <w:r>
        <w:t xml:space="preserve"> 15</w:t>
      </w:r>
      <w:r w:rsidR="0047758B">
        <w:t xml:space="preserve"> and th</w:t>
      </w:r>
      <w:r>
        <w:t xml:space="preserve">e forecasting horizon </w:t>
      </w:r>
      <w:r w:rsidR="0047758B">
        <w:t xml:space="preserve">was set at </w:t>
      </w:r>
      <w:r>
        <w:t>5</w:t>
      </w:r>
      <w:r w:rsidR="00BC4799">
        <w:t xml:space="preserve"> (Screenshot 8</w:t>
      </w:r>
      <w:r w:rsidR="0047758B">
        <w:t>).</w:t>
      </w:r>
      <w:r>
        <w:t xml:space="preserve"> </w:t>
      </w:r>
      <w:r w:rsidR="0030640F">
        <w:t xml:space="preserve">The </w:t>
      </w:r>
      <w:r w:rsidR="0047758B">
        <w:t>check mark</w:t>
      </w:r>
      <w:r w:rsidR="0030640F">
        <w:t xml:space="preserve"> for “Show error co</w:t>
      </w:r>
      <w:r w:rsidR="0047758B">
        <w:t>rrection equations” was removed so</w:t>
      </w:r>
      <w:r w:rsidR="0030640F">
        <w:t xml:space="preserve"> the macro will generate </w:t>
      </w:r>
      <w:r w:rsidR="0047758B">
        <w:t xml:space="preserve">the forecasts using the </w:t>
      </w:r>
      <w:r w:rsidR="0030640F">
        <w:t>non</w:t>
      </w:r>
      <w:r w:rsidR="0047758B">
        <w:t>-</w:t>
      </w:r>
      <w:r w:rsidR="0030640F">
        <w:t>error correction equations for the D</w:t>
      </w:r>
      <w:r w:rsidR="00BC4799">
        <w:t>A</w:t>
      </w:r>
      <w:r w:rsidR="0030640F">
        <w:t>TES method.</w:t>
      </w:r>
    </w:p>
    <w:p w:rsidR="001A6516" w:rsidRDefault="001A6516" w:rsidP="00C11D47">
      <w:pPr>
        <w:jc w:val="both"/>
      </w:pPr>
    </w:p>
    <w:p w:rsidR="00C11D47" w:rsidRDefault="00BB0DF3" w:rsidP="001A6516">
      <w:pPr>
        <w:jc w:val="center"/>
      </w:pPr>
      <w:r w:rsidRPr="00BB0DF3">
        <w:rPr>
          <w:noProof/>
        </w:rPr>
        <w:drawing>
          <wp:inline distT="0" distB="0" distL="0" distR="0">
            <wp:extent cx="5201728" cy="37505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05288" cy="3753137"/>
                    </a:xfrm>
                    <a:prstGeom prst="rect">
                      <a:avLst/>
                    </a:prstGeom>
                    <a:noFill/>
                    <a:ln>
                      <a:noFill/>
                    </a:ln>
                  </pic:spPr>
                </pic:pic>
              </a:graphicData>
            </a:graphic>
          </wp:inline>
        </w:drawing>
      </w:r>
    </w:p>
    <w:p w:rsidR="00A822B3" w:rsidRDefault="00A822B3" w:rsidP="00A822B3">
      <w:pPr>
        <w:pStyle w:val="Caption"/>
      </w:pPr>
      <w:r>
        <w:t xml:space="preserve">Screenshot </w:t>
      </w:r>
      <w:r w:rsidR="00BB0DF3">
        <w:t>8</w:t>
      </w:r>
    </w:p>
    <w:p w:rsidR="00C11D47" w:rsidRDefault="00C11D47" w:rsidP="00C11D47">
      <w:pPr>
        <w:jc w:val="both"/>
      </w:pPr>
    </w:p>
    <w:p w:rsidR="000C4189" w:rsidRPr="0067285E" w:rsidRDefault="00436297" w:rsidP="0067285E">
      <w:pPr>
        <w:jc w:val="both"/>
      </w:pPr>
      <w:r>
        <w:t xml:space="preserve"> </w:t>
      </w:r>
      <w:r w:rsidR="00CA0F86">
        <w:t>The model setting for t</w:t>
      </w:r>
      <w:r>
        <w:t xml:space="preserve">he </w:t>
      </w:r>
      <w:r w:rsidR="00C11D47">
        <w:t>D</w:t>
      </w:r>
      <w:r w:rsidR="00BB0DF3">
        <w:t>A</w:t>
      </w:r>
      <w:r w:rsidR="00CA0F86">
        <w:t xml:space="preserve">TES method </w:t>
      </w:r>
      <w:r w:rsidR="00BB0DF3">
        <w:t>is implemented in the “E</w:t>
      </w:r>
      <w:r w:rsidR="00C11D47">
        <w:t>xponential</w:t>
      </w:r>
      <w:r w:rsidR="00BB0DF3">
        <w:t xml:space="preserve"> Smoothing</w:t>
      </w:r>
      <w:r w:rsidR="00C11D47">
        <w:t xml:space="preserve">” tab. </w:t>
      </w:r>
      <w:r w:rsidR="000D307B">
        <w:t>In the “Trend” box</w:t>
      </w:r>
      <w:r w:rsidR="0067285E">
        <w:t>, “Damped</w:t>
      </w:r>
      <w:r w:rsidR="00BB0DF3">
        <w:t xml:space="preserve"> Additive</w:t>
      </w:r>
      <w:r w:rsidR="001A6516">
        <w:t>”</w:t>
      </w:r>
      <w:r w:rsidR="0067285E">
        <w:t xml:space="preserve"> </w:t>
      </w:r>
      <w:r w:rsidR="000C4189">
        <w:t>is</w:t>
      </w:r>
      <w:r w:rsidR="0067285E">
        <w:t xml:space="preserve"> selected. </w:t>
      </w:r>
      <w:r w:rsidR="00BB0DF3">
        <w:t xml:space="preserve">The model name “Damped additive exponential smoothing” will be shown in the bottom text box on the screen. </w:t>
      </w:r>
      <w:r w:rsidR="0067285E">
        <w:t>Because the parameters for the D</w:t>
      </w:r>
      <w:r w:rsidR="00BB0DF3">
        <w:t>A</w:t>
      </w:r>
      <w:r w:rsidR="0067285E">
        <w:t xml:space="preserve">TES method are </w:t>
      </w:r>
      <w:r w:rsidR="000C4189">
        <w:t>unk</w:t>
      </w:r>
      <w:r w:rsidR="0067285E">
        <w:t xml:space="preserve">nown, </w:t>
      </w:r>
      <w:r w:rsidR="001A6516">
        <w:t xml:space="preserve">search </w:t>
      </w:r>
      <w:r w:rsidR="000C4189">
        <w:t xml:space="preserve">for the parameters automatically by </w:t>
      </w:r>
      <w:r w:rsidR="00BB0DF3">
        <w:t xml:space="preserve">selecting the option “optimize parameters by constraining parameters between 0.0 and 1.0”. </w:t>
      </w:r>
      <w:r w:rsidR="00BA3486">
        <w:t>The</w:t>
      </w:r>
      <w:r w:rsidR="001A6516">
        <w:t xml:space="preserve"> </w:t>
      </w:r>
      <w:r w:rsidR="00BB0DF3">
        <w:t>“Log” transformation was selected under the “Transform</w:t>
      </w:r>
      <w:r w:rsidR="001A6516">
        <w:t xml:space="preserve">” </w:t>
      </w:r>
      <w:r w:rsidR="00BB0DF3">
        <w:t xml:space="preserve">option. </w:t>
      </w:r>
      <w:r w:rsidR="00941BB3">
        <w:t>To generate the forecast</w:t>
      </w:r>
      <w:r w:rsidR="000C4189">
        <w:t>s, click on the “C</w:t>
      </w:r>
      <w:r w:rsidR="00941BB3">
        <w:t>alculate” butto</w:t>
      </w:r>
      <w:r w:rsidR="00280E5C">
        <w:t>n</w:t>
      </w:r>
      <w:r w:rsidR="00BB0DF3">
        <w:t xml:space="preserve"> (Screenshot 9</w:t>
      </w:r>
      <w:r w:rsidR="000C4189">
        <w:t>).</w:t>
      </w:r>
    </w:p>
    <w:p w:rsidR="00436297" w:rsidRDefault="00BB0DF3" w:rsidP="001A6516">
      <w:pPr>
        <w:jc w:val="center"/>
      </w:pPr>
      <w:r w:rsidRPr="00BB0DF3">
        <w:rPr>
          <w:noProof/>
        </w:rPr>
        <w:lastRenderedPageBreak/>
        <w:drawing>
          <wp:inline distT="0" distB="0" distL="0" distR="0">
            <wp:extent cx="4744528" cy="345193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50368" cy="3456183"/>
                    </a:xfrm>
                    <a:prstGeom prst="rect">
                      <a:avLst/>
                    </a:prstGeom>
                    <a:noFill/>
                    <a:ln>
                      <a:noFill/>
                    </a:ln>
                  </pic:spPr>
                </pic:pic>
              </a:graphicData>
            </a:graphic>
          </wp:inline>
        </w:drawing>
      </w:r>
    </w:p>
    <w:p w:rsidR="00A822B3" w:rsidRDefault="00A822B3" w:rsidP="00A822B3">
      <w:pPr>
        <w:pStyle w:val="Caption"/>
      </w:pPr>
      <w:r>
        <w:t xml:space="preserve">Screenshot </w:t>
      </w:r>
      <w:r w:rsidR="00BB0DF3">
        <w:t>9</w:t>
      </w:r>
    </w:p>
    <w:p w:rsidR="00834389" w:rsidRDefault="00941BB3" w:rsidP="00115FF6">
      <w:pPr>
        <w:jc w:val="both"/>
      </w:pPr>
      <w:r>
        <w:t xml:space="preserve">The </w:t>
      </w:r>
      <w:r w:rsidR="000C4189">
        <w:t>results are</w:t>
      </w:r>
      <w:r>
        <w:t xml:space="preserve"> generated in </w:t>
      </w:r>
      <w:r w:rsidR="000C4189">
        <w:t>a</w:t>
      </w:r>
      <w:r>
        <w:t xml:space="preserve"> separate </w:t>
      </w:r>
      <w:r w:rsidR="00115FF6">
        <w:t>work</w:t>
      </w:r>
      <w:r>
        <w:t>sheet</w:t>
      </w:r>
      <w:r w:rsidR="00BB0DF3">
        <w:t xml:space="preserve"> (Screenshot 10</w:t>
      </w:r>
      <w:r w:rsidR="005542CB">
        <w:t>).</w:t>
      </w:r>
      <w:r>
        <w:t xml:space="preserve"> </w:t>
      </w:r>
      <w:r w:rsidR="00115FF6">
        <w:t>Th</w:t>
      </w:r>
      <w:r w:rsidR="000C4189">
        <w:t>is</w:t>
      </w:r>
      <w:r w:rsidR="00115FF6">
        <w:t xml:space="preserve"> worksheet </w:t>
      </w:r>
      <w:r w:rsidR="000C4189">
        <w:t>contains the</w:t>
      </w:r>
      <w:r>
        <w:t xml:space="preserve"> </w:t>
      </w:r>
      <w:r w:rsidR="00115FF6">
        <w:t>forecast</w:t>
      </w:r>
      <w:r w:rsidR="000C4189">
        <w:t>s,</w:t>
      </w:r>
      <w:r w:rsidR="00115FF6">
        <w:t xml:space="preserve"> plots of </w:t>
      </w:r>
      <w:r w:rsidR="000C4189">
        <w:t xml:space="preserve">the (fitted and) </w:t>
      </w:r>
      <w:r w:rsidR="00115FF6">
        <w:t xml:space="preserve">forecast and </w:t>
      </w:r>
      <w:r w:rsidR="0009500E">
        <w:t>actual series</w:t>
      </w:r>
      <w:r w:rsidR="00115FF6">
        <w:t xml:space="preserve"> and forecast error measure</w:t>
      </w:r>
      <w:r w:rsidR="000C4189">
        <w:t>s</w:t>
      </w:r>
      <w:r w:rsidR="00115FF6">
        <w:t xml:space="preserve">. </w:t>
      </w:r>
      <w:r w:rsidR="005C0A82">
        <w:t xml:space="preserve">The error measures always relate to the </w:t>
      </w:r>
      <w:r w:rsidR="005C0A82" w:rsidRPr="005C0A82">
        <w:rPr>
          <w:i/>
        </w:rPr>
        <w:t>original</w:t>
      </w:r>
      <w:r w:rsidR="005C0A82">
        <w:t xml:space="preserve"> series, whether or not transformations have been applied. </w:t>
      </w:r>
      <w:r w:rsidR="000C4189">
        <w:t>U</w:t>
      </w:r>
      <w:r w:rsidR="00115FF6">
        <w:t>ser</w:t>
      </w:r>
      <w:r w:rsidR="000C4189">
        <w:t>s should examine the</w:t>
      </w:r>
      <w:r w:rsidR="00115FF6">
        <w:t xml:space="preserve"> </w:t>
      </w:r>
      <w:r w:rsidR="005542CB">
        <w:t>f</w:t>
      </w:r>
      <w:r w:rsidR="001748DC">
        <w:t xml:space="preserve">orecast errors </w:t>
      </w:r>
      <w:r w:rsidR="00115FF6">
        <w:t xml:space="preserve">to check the </w:t>
      </w:r>
      <w:r w:rsidR="000C4189">
        <w:t xml:space="preserve">validity of the selected </w:t>
      </w:r>
      <w:r w:rsidR="009C30F6">
        <w:t>fo</w:t>
      </w:r>
      <w:r w:rsidR="00280E5C">
        <w:t>recasting m</w:t>
      </w:r>
      <w:r w:rsidR="000C4189">
        <w:t xml:space="preserve">ethod. </w:t>
      </w:r>
      <w:r w:rsidR="00280E5C">
        <w:t xml:space="preserve"> </w:t>
      </w:r>
      <w:r w:rsidR="005542CB">
        <w:t>As noted, earlier, u</w:t>
      </w:r>
      <w:r w:rsidR="00280E5C">
        <w:t>sers can check</w:t>
      </w:r>
      <w:r w:rsidR="009C30F6">
        <w:t xml:space="preserve"> how the forecasting value</w:t>
      </w:r>
      <w:r w:rsidR="005542CB">
        <w:t>s</w:t>
      </w:r>
      <w:r w:rsidR="009C30F6">
        <w:t xml:space="preserve"> w</w:t>
      </w:r>
      <w:r w:rsidR="005542CB">
        <w:t>ere</w:t>
      </w:r>
      <w:r w:rsidR="009C30F6">
        <w:t xml:space="preserve"> calculated by selecting cells in the result</w:t>
      </w:r>
      <w:r w:rsidR="005542CB">
        <w:t>s</w:t>
      </w:r>
      <w:r w:rsidR="00BB0DF3">
        <w:t xml:space="preserve"> worksheet. </w:t>
      </w:r>
    </w:p>
    <w:p w:rsidR="00643A62" w:rsidRDefault="00941BB3" w:rsidP="00FA01B5">
      <w:pPr>
        <w:jc w:val="center"/>
      </w:pPr>
      <w:r>
        <w:rPr>
          <w:noProof/>
          <w:lang w:val="en-US" w:eastAsia="en-US"/>
        </w:rPr>
        <w:drawing>
          <wp:inline distT="0" distB="0" distL="0" distR="0" wp14:anchorId="01B8906C" wp14:editId="208936E9">
            <wp:extent cx="5715000" cy="2712469"/>
            <wp:effectExtent l="0" t="0" r="0" b="0"/>
            <wp:docPr id="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5726024" cy="2717701"/>
                    </a:xfrm>
                    <a:prstGeom prst="rect">
                      <a:avLst/>
                    </a:prstGeom>
                    <a:noFill/>
                    <a:ln w="9525">
                      <a:noFill/>
                      <a:miter lim="800000"/>
                      <a:headEnd/>
                      <a:tailEnd/>
                    </a:ln>
                  </pic:spPr>
                </pic:pic>
              </a:graphicData>
            </a:graphic>
          </wp:inline>
        </w:drawing>
      </w:r>
    </w:p>
    <w:p w:rsidR="00115FF6" w:rsidRDefault="00BB0DF3" w:rsidP="00F40C42">
      <w:pPr>
        <w:pStyle w:val="Caption"/>
      </w:pPr>
      <w:r>
        <w:t>Screenshot 10</w:t>
      </w:r>
    </w:p>
    <w:p w:rsidR="00FA01B5" w:rsidRPr="00FA01B5" w:rsidRDefault="00FA01B5" w:rsidP="00FA01B5">
      <w:pPr>
        <w:rPr>
          <w:u w:val="single"/>
        </w:rPr>
      </w:pPr>
      <w:r>
        <w:t xml:space="preserve">For this example, the series has 45 observations, 15 of which are used as the hold-out sample. The 15 one-step-ahead forecasts (in the original units) may be found on the output sheet in cells i36 – </w:t>
      </w:r>
      <w:r>
        <w:lastRenderedPageBreak/>
        <w:t xml:space="preserve">i50. The forecast horizon was set at 5, so the one to five step-ahead forecasts are recorded in cells i51-i55. The (90 percent) prediction intervals are listed in cells q51-r55. </w:t>
      </w:r>
      <w:r w:rsidRPr="00FA01B5">
        <w:rPr>
          <w:u w:val="single"/>
        </w:rPr>
        <w:t>Clearly these locations depend on the series length, the method selected, the size of the hold-out sample and the forecast horizon.</w:t>
      </w:r>
    </w:p>
    <w:p w:rsidR="009744BD" w:rsidRPr="001A0724" w:rsidRDefault="00BB0DF3" w:rsidP="00BB0DF3">
      <w:pPr>
        <w:pStyle w:val="Heading1"/>
      </w:pPr>
      <w:bookmarkStart w:id="15" w:name="_Toc492732294"/>
      <w:r>
        <w:t>6</w:t>
      </w:r>
      <w:r w:rsidR="00CD26BD">
        <w:t>.</w:t>
      </w:r>
      <w:r>
        <w:t xml:space="preserve"> Rolling Origin E</w:t>
      </w:r>
      <w:r w:rsidR="009744BD">
        <w:t>valuation</w:t>
      </w:r>
      <w:bookmarkEnd w:id="15"/>
      <w:r w:rsidR="009744BD">
        <w:t xml:space="preserve"> </w:t>
      </w:r>
    </w:p>
    <w:p w:rsidR="00BE16DC" w:rsidRDefault="006279A5" w:rsidP="00E84E7D">
      <w:pPr>
        <w:jc w:val="both"/>
      </w:pPr>
      <w:r>
        <w:t>The “R</w:t>
      </w:r>
      <w:r w:rsidR="00E12AAC">
        <w:t>olling origin evaluation</w:t>
      </w:r>
      <w:r>
        <w:t xml:space="preserve">” tab provides illustrations of the </w:t>
      </w:r>
      <w:r w:rsidR="00AA7E88">
        <w:t xml:space="preserve">rolling origin </w:t>
      </w:r>
      <w:r>
        <w:t xml:space="preserve">approach to evaluating forecasting methods </w:t>
      </w:r>
      <w:r w:rsidR="00AA7E88">
        <w:t>for</w:t>
      </w:r>
      <w:r>
        <w:t xml:space="preserve"> the</w:t>
      </w:r>
      <w:r w:rsidR="00AA7E88">
        <w:t xml:space="preserve"> single exponential smoothing </w:t>
      </w:r>
      <w:r w:rsidR="00E84E7D">
        <w:t xml:space="preserve">(SES) </w:t>
      </w:r>
      <w:r w:rsidR="00AA7E88">
        <w:t xml:space="preserve">and </w:t>
      </w:r>
      <w:r>
        <w:t xml:space="preserve">the </w:t>
      </w:r>
      <w:r w:rsidR="00BB0DF3">
        <w:t>additive trend exponential smoothing (A</w:t>
      </w:r>
      <w:r w:rsidR="00BF0C3E">
        <w:t>TES) methods; see Screenshot 11.</w:t>
      </w:r>
      <w:r w:rsidR="00BE16DC">
        <w:t xml:space="preserve"> The </w:t>
      </w:r>
      <w:r>
        <w:t xml:space="preserve">required </w:t>
      </w:r>
      <w:r w:rsidR="00BE16DC">
        <w:t xml:space="preserve">steps are </w:t>
      </w:r>
      <w:r w:rsidR="00511176">
        <w:t>similar</w:t>
      </w:r>
      <w:r w:rsidR="00CF6C5C">
        <w:t xml:space="preserve"> </w:t>
      </w:r>
      <w:r w:rsidR="00511176">
        <w:t xml:space="preserve">to the </w:t>
      </w:r>
      <w:r>
        <w:t>process</w:t>
      </w:r>
      <w:r w:rsidR="00181DF6">
        <w:t xml:space="preserve"> described earlier</w:t>
      </w:r>
      <w:r>
        <w:t xml:space="preserve"> and so are presented in summary form:</w:t>
      </w:r>
      <w:r w:rsidR="000D6B1C">
        <w:t xml:space="preserve"> </w:t>
      </w:r>
    </w:p>
    <w:p w:rsidR="00BF0C3E" w:rsidRDefault="00BF0C3E" w:rsidP="00E84E7D">
      <w:pPr>
        <w:jc w:val="both"/>
      </w:pPr>
      <w:r w:rsidRPr="00BF0C3E">
        <w:rPr>
          <w:noProof/>
        </w:rPr>
        <w:drawing>
          <wp:inline distT="0" distB="0" distL="0" distR="0">
            <wp:extent cx="5029200" cy="365905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32374" cy="3661360"/>
                    </a:xfrm>
                    <a:prstGeom prst="rect">
                      <a:avLst/>
                    </a:prstGeom>
                    <a:noFill/>
                    <a:ln>
                      <a:noFill/>
                    </a:ln>
                  </pic:spPr>
                </pic:pic>
              </a:graphicData>
            </a:graphic>
          </wp:inline>
        </w:drawing>
      </w:r>
    </w:p>
    <w:p w:rsidR="00BF0C3E" w:rsidRPr="00BF0C3E" w:rsidRDefault="00BF0C3E" w:rsidP="00BF0C3E">
      <w:pPr>
        <w:jc w:val="center"/>
        <w:rPr>
          <w:b/>
        </w:rPr>
      </w:pPr>
      <w:r w:rsidRPr="00BF0C3E">
        <w:rPr>
          <w:b/>
        </w:rPr>
        <w:t>Screenshot 11</w:t>
      </w:r>
    </w:p>
    <w:p w:rsidR="00BE16DC" w:rsidRDefault="00BE16DC" w:rsidP="00BE16DC">
      <w:pPr>
        <w:pStyle w:val="ListParagraph"/>
        <w:numPr>
          <w:ilvl w:val="0"/>
          <w:numId w:val="3"/>
        </w:numPr>
        <w:jc w:val="both"/>
      </w:pPr>
      <w:r>
        <w:t>Load time series data in the “</w:t>
      </w:r>
      <w:r w:rsidR="00BB0DF3">
        <w:t>Forecasting Setup</w:t>
      </w:r>
      <w:r>
        <w:t>” tab</w:t>
      </w:r>
      <w:r w:rsidR="00BF0C3E">
        <w:t>.</w:t>
      </w:r>
    </w:p>
    <w:p w:rsidR="00BE16DC" w:rsidRDefault="00BE16DC" w:rsidP="00BE16DC">
      <w:pPr>
        <w:pStyle w:val="ListParagraph"/>
        <w:numPr>
          <w:ilvl w:val="0"/>
          <w:numId w:val="3"/>
        </w:numPr>
        <w:jc w:val="both"/>
      </w:pPr>
      <w:r>
        <w:t>S</w:t>
      </w:r>
      <w:r w:rsidR="006279A5">
        <w:t xml:space="preserve">pecify the size of the </w:t>
      </w:r>
      <w:r>
        <w:t>hold</w:t>
      </w:r>
      <w:r w:rsidR="00BB0DF3">
        <w:t>-</w:t>
      </w:r>
      <w:r>
        <w:t>out sample</w:t>
      </w:r>
      <w:r w:rsidR="00BB0DF3">
        <w:t xml:space="preserve"> (The hold-out size must be greater than zero)</w:t>
      </w:r>
      <w:r w:rsidR="00BF0C3E">
        <w:t>.</w:t>
      </w:r>
    </w:p>
    <w:p w:rsidR="006279A5" w:rsidRDefault="00BE16DC" w:rsidP="00BE16DC">
      <w:pPr>
        <w:pStyle w:val="ListParagraph"/>
        <w:numPr>
          <w:ilvl w:val="0"/>
          <w:numId w:val="3"/>
        </w:numPr>
        <w:jc w:val="both"/>
      </w:pPr>
      <w:r>
        <w:t>S</w:t>
      </w:r>
      <w:r w:rsidR="006279A5">
        <w:t>pecify the</w:t>
      </w:r>
      <w:r>
        <w:t xml:space="preserve"> forecasting horizon</w:t>
      </w:r>
      <w:r w:rsidR="00BF0C3E">
        <w:t>.</w:t>
      </w:r>
    </w:p>
    <w:p w:rsidR="00BF0C3E" w:rsidRDefault="00BB0DF3" w:rsidP="0059194B">
      <w:pPr>
        <w:pStyle w:val="ListParagraph"/>
        <w:numPr>
          <w:ilvl w:val="0"/>
          <w:numId w:val="3"/>
        </w:numPr>
        <w:jc w:val="both"/>
      </w:pPr>
      <w:r>
        <w:t xml:space="preserve">Choose the method of interest </w:t>
      </w:r>
      <w:r w:rsidR="00BF0C3E">
        <w:t xml:space="preserve">(SES or ATES) </w:t>
      </w:r>
      <w:r>
        <w:t>to see the rolling origin evaluation</w:t>
      </w:r>
      <w:r w:rsidR="00BF0C3E">
        <w:t>.</w:t>
      </w:r>
    </w:p>
    <w:p w:rsidR="00BF0C3E" w:rsidRDefault="00BF0C3E" w:rsidP="0059194B">
      <w:pPr>
        <w:pStyle w:val="ListParagraph"/>
        <w:numPr>
          <w:ilvl w:val="0"/>
          <w:numId w:val="3"/>
        </w:numPr>
        <w:jc w:val="both"/>
      </w:pPr>
      <w:r>
        <w:t>Choose the initial value by setting the start level if SES is chosen; choose initial parameters and the appropriate optimizer setting.</w:t>
      </w:r>
    </w:p>
    <w:p w:rsidR="006279A5" w:rsidRDefault="00BF0C3E" w:rsidP="0059194B">
      <w:pPr>
        <w:pStyle w:val="ListParagraph"/>
        <w:numPr>
          <w:ilvl w:val="0"/>
          <w:numId w:val="3"/>
        </w:numPr>
        <w:jc w:val="both"/>
      </w:pPr>
      <w:r>
        <w:t xml:space="preserve">Hit the “Calculate” button. </w:t>
      </w:r>
    </w:p>
    <w:p w:rsidR="006279A5" w:rsidRDefault="006279A5" w:rsidP="006279A5">
      <w:pPr>
        <w:pStyle w:val="ListParagraph"/>
        <w:ind w:left="1080" w:hanging="1080"/>
        <w:jc w:val="both"/>
      </w:pPr>
    </w:p>
    <w:p w:rsidR="00540921" w:rsidRDefault="00F67901" w:rsidP="006279A5">
      <w:pPr>
        <w:pStyle w:val="ListParagraph"/>
        <w:ind w:left="90"/>
        <w:jc w:val="both"/>
      </w:pPr>
      <w:r>
        <w:t xml:space="preserve"> </w:t>
      </w:r>
      <w:r w:rsidR="006279A5">
        <w:t xml:space="preserve">This process </w:t>
      </w:r>
      <w:r>
        <w:t>generate</w:t>
      </w:r>
      <w:r w:rsidR="006279A5">
        <w:t>s</w:t>
      </w:r>
      <w:r>
        <w:t xml:space="preserve"> the forecast</w:t>
      </w:r>
      <w:r w:rsidR="006279A5">
        <w:t>s</w:t>
      </w:r>
      <w:r w:rsidR="008234B0">
        <w:t xml:space="preserve"> </w:t>
      </w:r>
      <w:r w:rsidR="0026606A">
        <w:t xml:space="preserve">for single exponential smoothing or </w:t>
      </w:r>
      <w:r w:rsidR="00BF0C3E">
        <w:t xml:space="preserve">additive </w:t>
      </w:r>
      <w:r w:rsidR="0026606A">
        <w:t xml:space="preserve">trend exponential smoothing </w:t>
      </w:r>
      <w:r w:rsidR="00AB45B9">
        <w:t>in a</w:t>
      </w:r>
      <w:r w:rsidR="008234B0">
        <w:t xml:space="preserve"> separate worksheet. The </w:t>
      </w:r>
      <w:r w:rsidR="008B2A1F">
        <w:t xml:space="preserve">chart </w:t>
      </w:r>
      <w:r w:rsidR="0026606A">
        <w:t xml:space="preserve">in the worksheet </w:t>
      </w:r>
      <w:r w:rsidR="008B2A1F">
        <w:t>show</w:t>
      </w:r>
      <w:r w:rsidR="006279A5">
        <w:t>s</w:t>
      </w:r>
      <w:r w:rsidR="008B2A1F">
        <w:t xml:space="preserve"> the actual and forecast</w:t>
      </w:r>
      <w:r>
        <w:t xml:space="preserve"> </w:t>
      </w:r>
      <w:r w:rsidR="006279A5">
        <w:t xml:space="preserve">values </w:t>
      </w:r>
      <w:r w:rsidR="008B2A1F">
        <w:t>at each</w:t>
      </w:r>
      <w:r w:rsidR="006279A5">
        <w:t xml:space="preserve"> forecast</w:t>
      </w:r>
      <w:r w:rsidR="008B2A1F">
        <w:t xml:space="preserve"> origin</w:t>
      </w:r>
      <w:r w:rsidR="00BF0C3E">
        <w:t xml:space="preserve"> (Screenshot 12</w:t>
      </w:r>
      <w:r w:rsidR="00A925A5">
        <w:t>)</w:t>
      </w:r>
      <w:r w:rsidR="008B2A1F">
        <w:t xml:space="preserve">. </w:t>
      </w:r>
      <w:r w:rsidR="007863BD">
        <w:t>The forecast</w:t>
      </w:r>
      <w:r w:rsidR="006279A5">
        <w:t>s at each origin are based upon</w:t>
      </w:r>
      <w:r w:rsidR="004572B4">
        <w:t xml:space="preserve"> </w:t>
      </w:r>
      <w:r w:rsidR="004572B4">
        <w:lastRenderedPageBreak/>
        <w:t>the</w:t>
      </w:r>
      <w:r w:rsidR="007863BD">
        <w:t xml:space="preserve"> </w:t>
      </w:r>
      <w:r w:rsidR="008B167A">
        <w:t xml:space="preserve">latest </w:t>
      </w:r>
      <w:r w:rsidR="004572B4">
        <w:t xml:space="preserve">available </w:t>
      </w:r>
      <w:r w:rsidR="008B167A">
        <w:t>data</w:t>
      </w:r>
      <w:r w:rsidR="004572B4">
        <w:t xml:space="preserve">. </w:t>
      </w:r>
      <w:r w:rsidR="006279A5">
        <w:t>The u</w:t>
      </w:r>
      <w:r w:rsidR="00542C39">
        <w:t>ser can trace the location of</w:t>
      </w:r>
      <w:r w:rsidR="006279A5">
        <w:t xml:space="preserve"> the</w:t>
      </w:r>
      <w:r w:rsidR="00542C39">
        <w:t xml:space="preserve"> forecast and actual</w:t>
      </w:r>
      <w:r w:rsidR="006279A5">
        <w:t xml:space="preserve"> values</w:t>
      </w:r>
      <w:r w:rsidR="00542C39">
        <w:t xml:space="preserve"> in the spreadsheet by clicking each plot in the chart. </w:t>
      </w:r>
      <w:r w:rsidR="00BF3C69">
        <w:t xml:space="preserve"> </w:t>
      </w:r>
      <w:r w:rsidR="00A925A5">
        <w:t>Also,</w:t>
      </w:r>
      <w:r w:rsidR="00E30D61">
        <w:t xml:space="preserve"> separate error measure</w:t>
      </w:r>
      <w:r w:rsidR="00A925A5">
        <w:t>s are</w:t>
      </w:r>
      <w:r w:rsidR="00E30D61">
        <w:t xml:space="preserve"> generated </w:t>
      </w:r>
      <w:r w:rsidR="00BF3C69">
        <w:t xml:space="preserve">to aid </w:t>
      </w:r>
      <w:r w:rsidR="00A925A5">
        <w:t xml:space="preserve">the </w:t>
      </w:r>
      <w:r w:rsidR="00BF3C69">
        <w:t xml:space="preserve">user </w:t>
      </w:r>
      <w:r w:rsidR="00A925A5">
        <w:t>in understanding</w:t>
      </w:r>
      <w:r w:rsidR="00BF3C69">
        <w:t xml:space="preserve"> rolling origin evaluation</w:t>
      </w:r>
      <w:r w:rsidR="00BF0C3E">
        <w:t>s (Screenshot 13</w:t>
      </w:r>
      <w:r w:rsidR="00A925A5">
        <w:t>).</w:t>
      </w:r>
      <w:r w:rsidR="007863BD">
        <w:t xml:space="preserve"> Users can trace how the rolling origin error was calculated by selecting cells in the worksheet. </w:t>
      </w:r>
    </w:p>
    <w:p w:rsidR="00C11D47" w:rsidRDefault="00C11D47" w:rsidP="000D6B1C">
      <w:pPr>
        <w:jc w:val="center"/>
      </w:pPr>
    </w:p>
    <w:p w:rsidR="00C11D47" w:rsidRDefault="007F56CA">
      <w:r>
        <w:rPr>
          <w:noProof/>
          <w:lang w:val="en-US" w:eastAsia="en-US"/>
        </w:rPr>
        <w:drawing>
          <wp:inline distT="0" distB="0" distL="0" distR="0" wp14:anchorId="389F6CCF" wp14:editId="571E0861">
            <wp:extent cx="6160637" cy="2276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6158787" cy="2275791"/>
                    </a:xfrm>
                    <a:prstGeom prst="rect">
                      <a:avLst/>
                    </a:prstGeom>
                    <a:noFill/>
                    <a:ln w="9525">
                      <a:noFill/>
                      <a:miter lim="800000"/>
                      <a:headEnd/>
                      <a:tailEnd/>
                    </a:ln>
                  </pic:spPr>
                </pic:pic>
              </a:graphicData>
            </a:graphic>
          </wp:inline>
        </w:drawing>
      </w:r>
    </w:p>
    <w:p w:rsidR="008E166D" w:rsidRDefault="00A822B3" w:rsidP="00A822B3">
      <w:pPr>
        <w:pStyle w:val="Caption"/>
        <w:rPr>
          <w:noProof/>
        </w:rPr>
      </w:pPr>
      <w:r>
        <w:t xml:space="preserve">Screenshot </w:t>
      </w:r>
      <w:r w:rsidR="00BF0C3E">
        <w:t>12</w:t>
      </w:r>
    </w:p>
    <w:p w:rsidR="00A925A5" w:rsidRPr="00A925A5" w:rsidRDefault="00A925A5" w:rsidP="00A925A5"/>
    <w:p w:rsidR="00436297" w:rsidRDefault="008E166D" w:rsidP="008E166D">
      <w:pPr>
        <w:jc w:val="center"/>
      </w:pPr>
      <w:r>
        <w:rPr>
          <w:noProof/>
          <w:lang w:val="en-US" w:eastAsia="en-US"/>
        </w:rPr>
        <w:drawing>
          <wp:inline distT="0" distB="0" distL="0" distR="0" wp14:anchorId="36346082" wp14:editId="12672AF4">
            <wp:extent cx="4765664" cy="34956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4770647" cy="3499330"/>
                    </a:xfrm>
                    <a:prstGeom prst="rect">
                      <a:avLst/>
                    </a:prstGeom>
                    <a:noFill/>
                    <a:ln w="9525">
                      <a:noFill/>
                      <a:miter lim="800000"/>
                      <a:headEnd/>
                      <a:tailEnd/>
                    </a:ln>
                  </pic:spPr>
                </pic:pic>
              </a:graphicData>
            </a:graphic>
          </wp:inline>
        </w:drawing>
      </w:r>
    </w:p>
    <w:p w:rsidR="008E166D" w:rsidRDefault="00A822B3" w:rsidP="00A822B3">
      <w:pPr>
        <w:pStyle w:val="Caption"/>
        <w:rPr>
          <w:noProof/>
        </w:rPr>
      </w:pPr>
      <w:r>
        <w:t xml:space="preserve">Screenshot </w:t>
      </w:r>
      <w:r w:rsidR="00BF0C3E">
        <w:t>13</w:t>
      </w:r>
    </w:p>
    <w:p w:rsidR="00A925A5" w:rsidRDefault="00A925A5">
      <w:r>
        <w:br w:type="page"/>
      </w:r>
    </w:p>
    <w:p w:rsidR="00A925A5" w:rsidRDefault="00CD26BD" w:rsidP="00BF0C3E">
      <w:pPr>
        <w:pStyle w:val="Heading1"/>
      </w:pPr>
      <w:bookmarkStart w:id="16" w:name="_Toc492732295"/>
      <w:r>
        <w:lastRenderedPageBreak/>
        <w:t xml:space="preserve">7. </w:t>
      </w:r>
      <w:r w:rsidR="00BF0C3E">
        <w:t>Seasonality Check</w:t>
      </w:r>
      <w:bookmarkEnd w:id="16"/>
    </w:p>
    <w:p w:rsidR="00BF0C3E" w:rsidRDefault="00BF0C3E" w:rsidP="00BF0C3E">
      <w:r>
        <w:t>Knowledge about the seasonal cycle is a vital element in model specification. The presence of seasonality and the length of the seasonal cycle can be checked visually using the “Seasonality Check” tab in the ESM. The required steps are:</w:t>
      </w:r>
    </w:p>
    <w:p w:rsidR="00BF0C3E" w:rsidRDefault="00BF0C3E" w:rsidP="00BF0C3E">
      <w:pPr>
        <w:pStyle w:val="ListParagraph"/>
        <w:numPr>
          <w:ilvl w:val="0"/>
          <w:numId w:val="12"/>
        </w:numPr>
      </w:pPr>
      <w:r>
        <w:t>Load the time series data in the “Load Data” section under the “Seasonality Check” tab.</w:t>
      </w:r>
    </w:p>
    <w:p w:rsidR="00BF0C3E" w:rsidRDefault="00210887" w:rsidP="00BF0C3E">
      <w:pPr>
        <w:pStyle w:val="ListParagraph"/>
        <w:numPr>
          <w:ilvl w:val="0"/>
          <w:numId w:val="12"/>
        </w:numPr>
      </w:pPr>
      <w:r>
        <w:t>Choose an appropriate detrending method to remove any trend present in the series.</w:t>
      </w:r>
    </w:p>
    <w:p w:rsidR="00210887" w:rsidRDefault="00210887" w:rsidP="00BF0C3E">
      <w:pPr>
        <w:pStyle w:val="ListParagraph"/>
        <w:numPr>
          <w:ilvl w:val="0"/>
          <w:numId w:val="12"/>
        </w:numPr>
      </w:pPr>
      <w:r>
        <w:t>Specify the seasonal length of interest in the “Show Seasonal Cycle” box; also, set the corresponding order for the moving average and centred moving average methods if they are chosen. (Screenshot 14 assumes that the user is interested in finding out about the presence of a seasonal cycle of length 4, using the centred moving average method.)</w:t>
      </w:r>
    </w:p>
    <w:p w:rsidR="00210887" w:rsidRDefault="00210887" w:rsidP="00BF0C3E">
      <w:pPr>
        <w:pStyle w:val="ListParagraph"/>
        <w:numPr>
          <w:ilvl w:val="0"/>
          <w:numId w:val="12"/>
        </w:numPr>
      </w:pPr>
      <w:r>
        <w:t>Check the “See Worksheet” box if the user wishes to find out how the seasonal plots and detrending methods work.</w:t>
      </w:r>
    </w:p>
    <w:p w:rsidR="00210887" w:rsidRDefault="00210887" w:rsidP="00BF0C3E">
      <w:pPr>
        <w:pStyle w:val="ListParagraph"/>
        <w:numPr>
          <w:ilvl w:val="0"/>
          <w:numId w:val="12"/>
        </w:numPr>
      </w:pPr>
      <w:r>
        <w:t>Hit the “Seasonal plot” button to generate the seasonal plot.</w:t>
      </w:r>
    </w:p>
    <w:p w:rsidR="00210887" w:rsidRDefault="00210887" w:rsidP="00210887">
      <w:pPr>
        <w:pStyle w:val="ListParagraph"/>
      </w:pPr>
    </w:p>
    <w:p w:rsidR="00210887" w:rsidRDefault="00210887" w:rsidP="00210887">
      <w:pPr>
        <w:pStyle w:val="ListParagraph"/>
      </w:pPr>
      <w:r w:rsidRPr="00210887">
        <w:rPr>
          <w:noProof/>
        </w:rPr>
        <w:drawing>
          <wp:inline distT="0" distB="0" distL="0" distR="0">
            <wp:extent cx="5003321" cy="362108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11671" cy="3627127"/>
                    </a:xfrm>
                    <a:prstGeom prst="rect">
                      <a:avLst/>
                    </a:prstGeom>
                    <a:noFill/>
                    <a:ln>
                      <a:noFill/>
                    </a:ln>
                  </pic:spPr>
                </pic:pic>
              </a:graphicData>
            </a:graphic>
          </wp:inline>
        </w:drawing>
      </w:r>
    </w:p>
    <w:p w:rsidR="00210887" w:rsidRDefault="00210887" w:rsidP="00210887">
      <w:pPr>
        <w:pStyle w:val="ListParagraph"/>
      </w:pPr>
    </w:p>
    <w:p w:rsidR="00210887" w:rsidRDefault="00210887" w:rsidP="00210887">
      <w:pPr>
        <w:pStyle w:val="ListParagraph"/>
        <w:jc w:val="center"/>
        <w:rPr>
          <w:b/>
        </w:rPr>
      </w:pPr>
      <w:r w:rsidRPr="00210887">
        <w:rPr>
          <w:b/>
        </w:rPr>
        <w:t>Screenshot 14</w:t>
      </w:r>
    </w:p>
    <w:p w:rsidR="00210887" w:rsidRDefault="00210887">
      <w:pPr>
        <w:rPr>
          <w:b/>
        </w:rPr>
      </w:pPr>
      <w:r>
        <w:rPr>
          <w:b/>
        </w:rPr>
        <w:br w:type="page"/>
      </w:r>
    </w:p>
    <w:p w:rsidR="00210887" w:rsidRPr="00210887" w:rsidRDefault="00210887" w:rsidP="00210887">
      <w:pPr>
        <w:pStyle w:val="ListParagraph"/>
        <w:jc w:val="center"/>
        <w:rPr>
          <w:b/>
        </w:rPr>
      </w:pPr>
    </w:p>
    <w:p w:rsidR="009F3557" w:rsidRPr="00631522" w:rsidRDefault="00CD26BD" w:rsidP="009F3557">
      <w:pPr>
        <w:pStyle w:val="Heading1"/>
      </w:pPr>
      <w:bookmarkStart w:id="17" w:name="_Toc492732296"/>
      <w:r>
        <w:t>8.</w:t>
      </w:r>
      <w:r w:rsidR="009F3557" w:rsidRPr="00631522">
        <w:t xml:space="preserve"> </w:t>
      </w:r>
      <w:r w:rsidR="00521BF0">
        <w:t>The</w:t>
      </w:r>
      <w:r w:rsidR="005B74B9">
        <w:t xml:space="preserve"> </w:t>
      </w:r>
      <w:r w:rsidR="00F74553">
        <w:t>Lancaster Centre for Forecasting (LCF)</w:t>
      </w:r>
      <w:bookmarkEnd w:id="17"/>
    </w:p>
    <w:p w:rsidR="005B74B9" w:rsidRPr="0073423C" w:rsidRDefault="005B74B9" w:rsidP="005B74B9">
      <w:pPr>
        <w:jc w:val="both"/>
        <w:rPr>
          <w:color w:val="000000" w:themeColor="text1"/>
        </w:rPr>
      </w:pPr>
      <w:r w:rsidRPr="0073423C">
        <w:rPr>
          <w:color w:val="000000" w:themeColor="text1"/>
        </w:rPr>
        <w:t>The Lanca</w:t>
      </w:r>
      <w:r w:rsidR="00A925A5">
        <w:rPr>
          <w:color w:val="000000" w:themeColor="text1"/>
        </w:rPr>
        <w:t>ster Centre for Forecasting is led by past president of the International I</w:t>
      </w:r>
      <w:r w:rsidRPr="0073423C">
        <w:rPr>
          <w:color w:val="000000" w:themeColor="text1"/>
        </w:rPr>
        <w:t>nstitute of Forecasting (IIF) Prof</w:t>
      </w:r>
      <w:r w:rsidR="00A925A5">
        <w:rPr>
          <w:color w:val="000000" w:themeColor="text1"/>
        </w:rPr>
        <w:t>essor Robert Fildes.  The Centre</w:t>
      </w:r>
      <w:r w:rsidRPr="0073423C">
        <w:rPr>
          <w:color w:val="000000" w:themeColor="text1"/>
        </w:rPr>
        <w:t xml:space="preserve"> is actively engaged in </w:t>
      </w:r>
      <w:r w:rsidR="00A925A5">
        <w:rPr>
          <w:color w:val="000000" w:themeColor="text1"/>
        </w:rPr>
        <w:t>bo</w:t>
      </w:r>
      <w:r w:rsidRPr="0073423C">
        <w:rPr>
          <w:color w:val="000000" w:themeColor="text1"/>
        </w:rPr>
        <w:t>th leading forecasting associations,</w:t>
      </w:r>
      <w:r w:rsidR="00A925A5">
        <w:rPr>
          <w:color w:val="000000" w:themeColor="text1"/>
        </w:rPr>
        <w:t xml:space="preserve"> the </w:t>
      </w:r>
      <w:r w:rsidRPr="0073423C">
        <w:rPr>
          <w:color w:val="000000" w:themeColor="text1"/>
        </w:rPr>
        <w:t>IIF and</w:t>
      </w:r>
      <w:r w:rsidR="00A925A5">
        <w:rPr>
          <w:color w:val="000000" w:themeColor="text1"/>
        </w:rPr>
        <w:t xml:space="preserve"> the </w:t>
      </w:r>
      <w:r w:rsidRPr="0073423C">
        <w:rPr>
          <w:color w:val="000000" w:themeColor="text1"/>
        </w:rPr>
        <w:t>IBF (International Business Forecasting and Planning).</w:t>
      </w:r>
    </w:p>
    <w:p w:rsidR="0073423C" w:rsidRPr="0073423C" w:rsidRDefault="0073423C" w:rsidP="0073423C">
      <w:pPr>
        <w:pStyle w:val="NormalWeb"/>
        <w:rPr>
          <w:rFonts w:asciiTheme="minorHAnsi" w:hAnsiTheme="minorHAnsi"/>
          <w:color w:val="000000" w:themeColor="text1"/>
          <w:sz w:val="22"/>
          <w:szCs w:val="22"/>
        </w:rPr>
      </w:pPr>
      <w:r w:rsidRPr="0073423C">
        <w:rPr>
          <w:rFonts w:asciiTheme="minorHAnsi" w:hAnsiTheme="minorHAnsi"/>
          <w:color w:val="000000" w:themeColor="text1"/>
          <w:sz w:val="22"/>
          <w:szCs w:val="22"/>
        </w:rPr>
        <w:t xml:space="preserve">The LCF </w:t>
      </w:r>
      <w:r w:rsidR="00A925A5">
        <w:rPr>
          <w:rFonts w:asciiTheme="minorHAnsi" w:hAnsiTheme="minorHAnsi"/>
          <w:color w:val="000000" w:themeColor="text1"/>
          <w:sz w:val="22"/>
          <w:szCs w:val="22"/>
        </w:rPr>
        <w:t>has expertise</w:t>
      </w:r>
      <w:r w:rsidRPr="0073423C">
        <w:rPr>
          <w:rFonts w:asciiTheme="minorHAnsi" w:hAnsiTheme="minorHAnsi"/>
          <w:color w:val="000000" w:themeColor="text1"/>
          <w:sz w:val="22"/>
          <w:szCs w:val="22"/>
        </w:rPr>
        <w:t xml:space="preserve"> in three core areas in the field of predictive analytics:</w:t>
      </w:r>
    </w:p>
    <w:p w:rsidR="0073423C" w:rsidRPr="0073423C" w:rsidRDefault="00FB6E35" w:rsidP="009C7945">
      <w:hyperlink r:id="rId23" w:history="1">
        <w:r w:rsidR="0073423C" w:rsidRPr="0073423C">
          <w:rPr>
            <w:rStyle w:val="Hyperlink"/>
            <w:color w:val="000000" w:themeColor="text1"/>
          </w:rPr>
          <w:t>Applied Forecasting</w:t>
        </w:r>
      </w:hyperlink>
    </w:p>
    <w:p w:rsidR="0073423C" w:rsidRPr="0073423C" w:rsidRDefault="0073423C" w:rsidP="0073423C">
      <w:pPr>
        <w:numPr>
          <w:ilvl w:val="0"/>
          <w:numId w:val="4"/>
        </w:numPr>
        <w:spacing w:before="100" w:beforeAutospacing="1" w:after="100" w:afterAutospacing="1" w:line="240" w:lineRule="auto"/>
        <w:rPr>
          <w:color w:val="000000" w:themeColor="text1"/>
        </w:rPr>
      </w:pPr>
      <w:r w:rsidRPr="0073423C">
        <w:rPr>
          <w:color w:val="000000" w:themeColor="text1"/>
        </w:rPr>
        <w:t>Business consulting and applied research projects</w:t>
      </w:r>
    </w:p>
    <w:p w:rsidR="0073423C" w:rsidRPr="0073423C" w:rsidRDefault="0073423C" w:rsidP="0073423C">
      <w:pPr>
        <w:numPr>
          <w:ilvl w:val="0"/>
          <w:numId w:val="4"/>
        </w:numPr>
        <w:spacing w:before="100" w:beforeAutospacing="1" w:after="100" w:afterAutospacing="1" w:line="240" w:lineRule="auto"/>
        <w:rPr>
          <w:color w:val="000000" w:themeColor="text1"/>
        </w:rPr>
      </w:pPr>
      <w:r w:rsidRPr="0073423C">
        <w:rPr>
          <w:color w:val="000000" w:themeColor="text1"/>
        </w:rPr>
        <w:t>Demand planning in supply chains and retail</w:t>
      </w:r>
    </w:p>
    <w:p w:rsidR="0073423C" w:rsidRPr="0073423C" w:rsidRDefault="0073423C" w:rsidP="0073423C">
      <w:pPr>
        <w:numPr>
          <w:ilvl w:val="0"/>
          <w:numId w:val="4"/>
        </w:numPr>
        <w:spacing w:before="100" w:beforeAutospacing="1" w:after="100" w:afterAutospacing="1" w:line="240" w:lineRule="auto"/>
        <w:rPr>
          <w:color w:val="000000" w:themeColor="text1"/>
        </w:rPr>
      </w:pPr>
      <w:r w:rsidRPr="0073423C">
        <w:rPr>
          <w:color w:val="000000" w:themeColor="text1"/>
        </w:rPr>
        <w:t>Teaching and developing training courses in statistical methods</w:t>
      </w:r>
    </w:p>
    <w:p w:rsidR="0073423C" w:rsidRPr="0073423C" w:rsidRDefault="00FB6E35" w:rsidP="009C7945">
      <w:hyperlink r:id="rId24" w:history="1">
        <w:r w:rsidR="0073423C" w:rsidRPr="0073423C">
          <w:rPr>
            <w:rStyle w:val="Hyperlink"/>
            <w:color w:val="000000" w:themeColor="text1"/>
          </w:rPr>
          <w:t>Data Mining</w:t>
        </w:r>
      </w:hyperlink>
    </w:p>
    <w:p w:rsidR="0073423C" w:rsidRPr="0073423C" w:rsidRDefault="0073423C" w:rsidP="0073423C">
      <w:pPr>
        <w:numPr>
          <w:ilvl w:val="0"/>
          <w:numId w:val="5"/>
        </w:numPr>
        <w:spacing w:before="100" w:beforeAutospacing="1" w:after="100" w:afterAutospacing="1" w:line="240" w:lineRule="auto"/>
        <w:rPr>
          <w:color w:val="000000" w:themeColor="text1"/>
        </w:rPr>
      </w:pPr>
      <w:r w:rsidRPr="0073423C">
        <w:rPr>
          <w:color w:val="000000" w:themeColor="text1"/>
        </w:rPr>
        <w:t>Churn and credit scoring</w:t>
      </w:r>
    </w:p>
    <w:p w:rsidR="0073423C" w:rsidRPr="0073423C" w:rsidRDefault="0073423C" w:rsidP="0073423C">
      <w:pPr>
        <w:numPr>
          <w:ilvl w:val="0"/>
          <w:numId w:val="5"/>
        </w:numPr>
        <w:spacing w:before="100" w:beforeAutospacing="1" w:after="100" w:afterAutospacing="1" w:line="240" w:lineRule="auto"/>
        <w:rPr>
          <w:color w:val="000000" w:themeColor="text1"/>
        </w:rPr>
      </w:pPr>
      <w:r w:rsidRPr="0073423C">
        <w:rPr>
          <w:color w:val="000000" w:themeColor="text1"/>
        </w:rPr>
        <w:t>Customer Relationship Management</w:t>
      </w:r>
    </w:p>
    <w:p w:rsidR="0073423C" w:rsidRPr="0073423C" w:rsidRDefault="0073423C" w:rsidP="0073423C">
      <w:pPr>
        <w:numPr>
          <w:ilvl w:val="0"/>
          <w:numId w:val="5"/>
        </w:numPr>
        <w:spacing w:before="100" w:beforeAutospacing="1" w:after="100" w:afterAutospacing="1" w:line="240" w:lineRule="auto"/>
        <w:rPr>
          <w:color w:val="000000" w:themeColor="text1"/>
        </w:rPr>
      </w:pPr>
      <w:r w:rsidRPr="0073423C">
        <w:rPr>
          <w:color w:val="000000" w:themeColor="text1"/>
        </w:rPr>
        <w:t>Classification problems</w:t>
      </w:r>
    </w:p>
    <w:p w:rsidR="0073423C" w:rsidRPr="0073423C" w:rsidRDefault="00FB6E35" w:rsidP="009C7945">
      <w:hyperlink r:id="rId25" w:history="1">
        <w:r w:rsidR="0073423C" w:rsidRPr="0073423C">
          <w:rPr>
            <w:rStyle w:val="Hyperlink"/>
            <w:color w:val="000000" w:themeColor="text1"/>
          </w:rPr>
          <w:t>Market Modelling</w:t>
        </w:r>
      </w:hyperlink>
    </w:p>
    <w:p w:rsidR="0073423C" w:rsidRPr="0073423C" w:rsidRDefault="0073423C" w:rsidP="0073423C">
      <w:pPr>
        <w:numPr>
          <w:ilvl w:val="0"/>
          <w:numId w:val="6"/>
        </w:numPr>
        <w:spacing w:before="100" w:beforeAutospacing="1" w:after="100" w:afterAutospacing="1" w:line="240" w:lineRule="auto"/>
        <w:rPr>
          <w:color w:val="000000" w:themeColor="text1"/>
        </w:rPr>
      </w:pPr>
      <w:r w:rsidRPr="0073423C">
        <w:rPr>
          <w:color w:val="000000" w:themeColor="text1"/>
        </w:rPr>
        <w:t>Information and Communication Technology (ICT) research</w:t>
      </w:r>
    </w:p>
    <w:p w:rsidR="0073423C" w:rsidRPr="0073423C" w:rsidRDefault="0073423C" w:rsidP="0073423C">
      <w:pPr>
        <w:numPr>
          <w:ilvl w:val="0"/>
          <w:numId w:val="6"/>
        </w:numPr>
        <w:spacing w:before="100" w:beforeAutospacing="1" w:after="100" w:afterAutospacing="1" w:line="240" w:lineRule="auto"/>
        <w:rPr>
          <w:color w:val="000000" w:themeColor="text1"/>
        </w:rPr>
      </w:pPr>
      <w:r w:rsidRPr="0073423C">
        <w:rPr>
          <w:color w:val="000000" w:themeColor="text1"/>
        </w:rPr>
        <w:t>Diffusion modelling</w:t>
      </w:r>
    </w:p>
    <w:p w:rsidR="0073423C" w:rsidRPr="0073423C" w:rsidRDefault="0073423C" w:rsidP="0073423C">
      <w:pPr>
        <w:numPr>
          <w:ilvl w:val="0"/>
          <w:numId w:val="6"/>
        </w:numPr>
        <w:spacing w:before="100" w:beforeAutospacing="1" w:after="100" w:afterAutospacing="1" w:line="240" w:lineRule="auto"/>
        <w:rPr>
          <w:color w:val="000000" w:themeColor="text1"/>
        </w:rPr>
      </w:pPr>
      <w:r w:rsidRPr="0073423C">
        <w:rPr>
          <w:color w:val="000000" w:themeColor="text1"/>
        </w:rPr>
        <w:t>Customer behaviour analysis</w:t>
      </w:r>
    </w:p>
    <w:p w:rsidR="00197E35" w:rsidRDefault="00C0411D" w:rsidP="005B74B9">
      <w:pPr>
        <w:jc w:val="both"/>
        <w:rPr>
          <w:color w:val="000000" w:themeColor="text1"/>
        </w:rPr>
      </w:pPr>
      <w:r>
        <w:rPr>
          <w:color w:val="000000" w:themeColor="text1"/>
        </w:rPr>
        <w:t xml:space="preserve">The LCF offers research and consultancy services to industry, commerce and government. Its services include corporate research, courses for practitioner and consultancy services. </w:t>
      </w:r>
      <w:r w:rsidR="003A26A6">
        <w:rPr>
          <w:color w:val="000000" w:themeColor="text1"/>
        </w:rPr>
        <w:t>A limited l</w:t>
      </w:r>
      <w:r w:rsidR="00197E35">
        <w:rPr>
          <w:color w:val="000000" w:themeColor="text1"/>
        </w:rPr>
        <w:t xml:space="preserve">ist of </w:t>
      </w:r>
      <w:r w:rsidR="003A26A6">
        <w:rPr>
          <w:color w:val="000000" w:themeColor="text1"/>
        </w:rPr>
        <w:t xml:space="preserve">domestic and international </w:t>
      </w:r>
      <w:r w:rsidR="00197E35">
        <w:rPr>
          <w:color w:val="000000" w:themeColor="text1"/>
        </w:rPr>
        <w:t>clients include</w:t>
      </w:r>
      <w:r w:rsidR="003A26A6">
        <w:rPr>
          <w:color w:val="000000" w:themeColor="text1"/>
        </w:rPr>
        <w:t>s</w:t>
      </w:r>
      <w:r w:rsidR="00197E35">
        <w:rPr>
          <w:color w:val="000000" w:themeColor="text1"/>
        </w:rPr>
        <w:t>:</w:t>
      </w:r>
    </w:p>
    <w:p w:rsidR="003A26A6" w:rsidRDefault="003A26A6" w:rsidP="003A26A6">
      <w:pPr>
        <w:pStyle w:val="ListParagraph"/>
        <w:numPr>
          <w:ilvl w:val="0"/>
          <w:numId w:val="6"/>
        </w:numPr>
        <w:jc w:val="both"/>
        <w:rPr>
          <w:color w:val="000000" w:themeColor="text1"/>
        </w:rPr>
      </w:pPr>
      <w:r>
        <w:rPr>
          <w:color w:val="000000" w:themeColor="text1"/>
        </w:rPr>
        <w:t>AstraZeneca</w:t>
      </w:r>
    </w:p>
    <w:p w:rsidR="003A26A6" w:rsidRDefault="003A26A6" w:rsidP="003A26A6">
      <w:pPr>
        <w:pStyle w:val="ListParagraph"/>
        <w:numPr>
          <w:ilvl w:val="0"/>
          <w:numId w:val="6"/>
        </w:numPr>
        <w:jc w:val="both"/>
        <w:rPr>
          <w:color w:val="000000" w:themeColor="text1"/>
        </w:rPr>
      </w:pPr>
      <w:r>
        <w:rPr>
          <w:color w:val="000000" w:themeColor="text1"/>
        </w:rPr>
        <w:t>Barclaycard</w:t>
      </w:r>
    </w:p>
    <w:p w:rsidR="003A26A6" w:rsidRDefault="003A26A6" w:rsidP="003A26A6">
      <w:pPr>
        <w:pStyle w:val="ListParagraph"/>
        <w:numPr>
          <w:ilvl w:val="0"/>
          <w:numId w:val="6"/>
        </w:numPr>
        <w:jc w:val="both"/>
        <w:rPr>
          <w:color w:val="000000" w:themeColor="text1"/>
        </w:rPr>
      </w:pPr>
      <w:r>
        <w:rPr>
          <w:color w:val="000000" w:themeColor="text1"/>
        </w:rPr>
        <w:t>British</w:t>
      </w:r>
      <w:r w:rsidR="009C7945">
        <w:rPr>
          <w:color w:val="000000" w:themeColor="text1"/>
        </w:rPr>
        <w:t xml:space="preserve"> Airways</w:t>
      </w:r>
    </w:p>
    <w:p w:rsidR="009C7945" w:rsidRDefault="009C7945" w:rsidP="003A26A6">
      <w:pPr>
        <w:pStyle w:val="ListParagraph"/>
        <w:numPr>
          <w:ilvl w:val="0"/>
          <w:numId w:val="6"/>
        </w:numPr>
        <w:jc w:val="both"/>
        <w:rPr>
          <w:color w:val="000000" w:themeColor="text1"/>
        </w:rPr>
      </w:pPr>
      <w:r>
        <w:rPr>
          <w:color w:val="000000" w:themeColor="text1"/>
        </w:rPr>
        <w:t>BT (British Telecommunication Plc.)</w:t>
      </w:r>
    </w:p>
    <w:p w:rsidR="009C7945" w:rsidRDefault="009C7945" w:rsidP="003A26A6">
      <w:pPr>
        <w:pStyle w:val="ListParagraph"/>
        <w:numPr>
          <w:ilvl w:val="0"/>
          <w:numId w:val="6"/>
        </w:numPr>
        <w:jc w:val="both"/>
        <w:rPr>
          <w:color w:val="000000" w:themeColor="text1"/>
        </w:rPr>
      </w:pPr>
      <w:r>
        <w:rPr>
          <w:color w:val="000000" w:themeColor="text1"/>
        </w:rPr>
        <w:t>Co-Operative Bank</w:t>
      </w:r>
    </w:p>
    <w:p w:rsidR="009C7945" w:rsidRDefault="009C7945" w:rsidP="003A26A6">
      <w:pPr>
        <w:pStyle w:val="ListParagraph"/>
        <w:numPr>
          <w:ilvl w:val="0"/>
          <w:numId w:val="6"/>
        </w:numPr>
        <w:jc w:val="both"/>
        <w:rPr>
          <w:color w:val="000000" w:themeColor="text1"/>
        </w:rPr>
      </w:pPr>
      <w:r>
        <w:rPr>
          <w:color w:val="000000" w:themeColor="text1"/>
        </w:rPr>
        <w:t>Department of Health</w:t>
      </w:r>
    </w:p>
    <w:p w:rsidR="009C7945" w:rsidRDefault="009C7945" w:rsidP="003A26A6">
      <w:pPr>
        <w:pStyle w:val="ListParagraph"/>
        <w:numPr>
          <w:ilvl w:val="0"/>
          <w:numId w:val="6"/>
        </w:numPr>
        <w:jc w:val="both"/>
        <w:rPr>
          <w:color w:val="000000" w:themeColor="text1"/>
        </w:rPr>
      </w:pPr>
      <w:r>
        <w:rPr>
          <w:color w:val="000000" w:themeColor="text1"/>
        </w:rPr>
        <w:t>Halifax PLC</w:t>
      </w:r>
    </w:p>
    <w:p w:rsidR="009C7945" w:rsidRDefault="009C7945" w:rsidP="003A26A6">
      <w:pPr>
        <w:pStyle w:val="ListParagraph"/>
        <w:numPr>
          <w:ilvl w:val="0"/>
          <w:numId w:val="6"/>
        </w:numPr>
        <w:jc w:val="both"/>
        <w:rPr>
          <w:color w:val="000000" w:themeColor="text1"/>
        </w:rPr>
      </w:pPr>
      <w:r>
        <w:rPr>
          <w:color w:val="000000" w:themeColor="text1"/>
        </w:rPr>
        <w:t>NHS Blackpool</w:t>
      </w:r>
    </w:p>
    <w:p w:rsidR="009C7945" w:rsidRDefault="009C7945" w:rsidP="009C7945">
      <w:pPr>
        <w:pStyle w:val="ListParagraph"/>
        <w:numPr>
          <w:ilvl w:val="0"/>
          <w:numId w:val="6"/>
        </w:numPr>
        <w:jc w:val="both"/>
        <w:rPr>
          <w:color w:val="000000" w:themeColor="text1"/>
        </w:rPr>
      </w:pPr>
      <w:r>
        <w:rPr>
          <w:color w:val="000000" w:themeColor="text1"/>
        </w:rPr>
        <w:t>Wilkinson</w:t>
      </w:r>
    </w:p>
    <w:p w:rsidR="00A925A5" w:rsidRDefault="00A925A5">
      <w:pPr>
        <w:rPr>
          <w:color w:val="000000" w:themeColor="text1"/>
        </w:rPr>
      </w:pPr>
      <w:r>
        <w:rPr>
          <w:color w:val="000000" w:themeColor="text1"/>
        </w:rPr>
        <w:br w:type="page"/>
      </w:r>
    </w:p>
    <w:p w:rsidR="009C7945" w:rsidRDefault="00CD26BD" w:rsidP="009C7945">
      <w:pPr>
        <w:pStyle w:val="Heading1"/>
      </w:pPr>
      <w:bookmarkStart w:id="18" w:name="_Toc492732297"/>
      <w:r>
        <w:lastRenderedPageBreak/>
        <w:t>9</w:t>
      </w:r>
      <w:r w:rsidR="009C7945" w:rsidRPr="00631522">
        <w:t xml:space="preserve">. </w:t>
      </w:r>
      <w:r w:rsidR="009C7945">
        <w:t>Appendix</w:t>
      </w:r>
      <w:r w:rsidR="00A925A5">
        <w:t xml:space="preserve"> on parameter constraints</w:t>
      </w:r>
      <w:bookmarkEnd w:id="18"/>
    </w:p>
    <w:p w:rsidR="00A925A5" w:rsidRDefault="00A925A5" w:rsidP="00F40C42">
      <w:pPr>
        <w:jc w:val="both"/>
      </w:pPr>
      <w:r>
        <w:t xml:space="preserve">The conventional constraints imposed on the smoothing parameters in exponential smoothing require that </w:t>
      </w:r>
      <w:r w:rsidR="007B02E6">
        <w:t>that all these coefficients lie in the range [0, 1].</w:t>
      </w:r>
      <w:r w:rsidR="005F7A84">
        <w:t xml:space="preserve"> Some programs constrain the parameter values to lie strictly inside these ranges, but the ESM allows the boundary values.  For example, single exponential smoothing with </w:t>
      </w:r>
      <w:r w:rsidR="005F7A84" w:rsidRPr="005F7A84">
        <w:rPr>
          <w:position w:val="-4"/>
        </w:rPr>
        <w:object w:dxaOrig="66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2.25pt" o:ole="">
            <v:imagedata r:id="rId26" o:title=""/>
          </v:shape>
          <o:OLEObject Type="Embed" ProgID="Equation.DSMT4" ShapeID="_x0000_i1025" DrawAspect="Content" ObjectID="_1566551843" r:id="rId27"/>
        </w:object>
      </w:r>
      <w:r w:rsidR="005F7A84">
        <w:t>uses the mean of the first</w:t>
      </w:r>
      <w:r w:rsidR="005F7A84" w:rsidRPr="005F7A84">
        <w:rPr>
          <w:i/>
        </w:rPr>
        <w:t xml:space="preserve"> K</w:t>
      </w:r>
      <w:r w:rsidR="005F7A84">
        <w:t xml:space="preserve"> observations as the forecast for all later periods (default</w:t>
      </w:r>
      <w:r w:rsidR="005F7A84" w:rsidRPr="005F7A84">
        <w:rPr>
          <w:i/>
        </w:rPr>
        <w:t xml:space="preserve"> K</w:t>
      </w:r>
      <w:r w:rsidR="005F7A84">
        <w:t xml:space="preserve"> = 1).</w:t>
      </w:r>
    </w:p>
    <w:p w:rsidR="005F7A84" w:rsidRDefault="005F7A84" w:rsidP="00F40C42">
      <w:pPr>
        <w:jc w:val="both"/>
      </w:pPr>
      <w:r>
        <w:t>A more general set of constraints is provided by the invertibility conditions of ARIMA models</w:t>
      </w:r>
      <w:r w:rsidR="003A66A4">
        <w:t xml:space="preserve">, which are implied by the </w:t>
      </w:r>
      <w:r w:rsidR="003A66A4">
        <w:rPr>
          <w:i/>
        </w:rPr>
        <w:t xml:space="preserve">stability </w:t>
      </w:r>
      <w:r w:rsidR="003A66A4">
        <w:t>conditions for state space models</w:t>
      </w:r>
      <w:r>
        <w:t>; see Hyndman, Koehler, Ord and Snyder (2008, Chapter</w:t>
      </w:r>
      <w:r w:rsidR="003A66A4">
        <w:t xml:space="preserve">s 10 and </w:t>
      </w:r>
      <w:r>
        <w:t xml:space="preserve">11) for a comprehensive </w:t>
      </w:r>
      <w:r w:rsidR="003A66A4">
        <w:t xml:space="preserve">but advanced </w:t>
      </w:r>
      <w:r>
        <w:t>discussion of this topic. For the purposes of running the E</w:t>
      </w:r>
      <w:r w:rsidR="001F16F3">
        <w:t>SM, the following constraints can be</w:t>
      </w:r>
      <w:r>
        <w:t xml:space="preserve"> applied in this context if the user </w:t>
      </w:r>
      <w:r w:rsidR="001F16F3">
        <w:t xml:space="preserve">selects the option “optimize parameters with constraints to meet invertibility conditions of ARIMA model” in the optimizer setting. </w:t>
      </w:r>
      <w:r w:rsidR="001F16F3" w:rsidRPr="001F16F3">
        <w:rPr>
          <w:u w:val="single"/>
        </w:rPr>
        <w:t>Note that these constraints produce a larger parameter space than that usually specified in exponential smoothing</w:t>
      </w:r>
      <w:r w:rsidR="001F16F3">
        <w:t xml:space="preserve">. </w:t>
      </w:r>
    </w:p>
    <w:p w:rsidR="00ED3217" w:rsidRDefault="003A66A4" w:rsidP="003A66A4">
      <w:r>
        <w:rPr>
          <w:i/>
        </w:rPr>
        <w:t xml:space="preserve">Single exponential smoothing: </w:t>
      </w:r>
      <w:r>
        <w:tab/>
      </w:r>
      <w:r w:rsidRPr="003A66A4">
        <w:rPr>
          <w:position w:val="-4"/>
        </w:rPr>
        <w:object w:dxaOrig="200" w:dyaOrig="300">
          <v:shape id="_x0000_i1026" type="#_x0000_t75" style="width:9.5pt;height:14.95pt" o:ole="">
            <v:imagedata r:id="rId28" o:title=""/>
          </v:shape>
          <o:OLEObject Type="Embed" ProgID="Equation.DSMT4" ShapeID="_x0000_i1026" DrawAspect="Content" ObjectID="_1566551844" r:id="rId29"/>
        </w:object>
      </w:r>
      <w:r>
        <w:t xml:space="preserve"> </w:t>
      </w:r>
    </w:p>
    <w:p w:rsidR="003A66A4" w:rsidRDefault="00ED3217" w:rsidP="00F40C42">
      <w:pPr>
        <w:jc w:val="center"/>
      </w:pPr>
      <m:oMathPara>
        <m:oMath>
          <m:r>
            <w:rPr>
              <w:rFonts w:ascii="Cambria Math" w:hAnsi="Cambria Math"/>
            </w:rPr>
            <m:t>0&lt;α&lt;2</m:t>
          </m:r>
        </m:oMath>
      </m:oMathPara>
    </w:p>
    <w:p w:rsidR="003A66A4" w:rsidRDefault="003A66A4" w:rsidP="005F7A84">
      <w:pPr>
        <w:rPr>
          <w:i/>
        </w:rPr>
      </w:pPr>
      <w:r w:rsidRPr="003A66A4">
        <w:rPr>
          <w:i/>
        </w:rPr>
        <w:t>Linear exponential smoothing (without damping):</w:t>
      </w:r>
    </w:p>
    <w:p w:rsidR="00ED3217" w:rsidRDefault="00ED3217" w:rsidP="005F7A84">
      <w:pPr>
        <w:rPr>
          <w:i/>
        </w:rPr>
      </w:pPr>
      <m:oMathPara>
        <m:oMath>
          <m:r>
            <w:rPr>
              <w:rFonts w:ascii="Cambria Math" w:hAnsi="Cambria Math"/>
            </w:rPr>
            <m:t>0&lt;α&lt;2</m:t>
          </m:r>
        </m:oMath>
      </m:oMathPara>
    </w:p>
    <w:p w:rsidR="00ED3217" w:rsidRDefault="00ED3217" w:rsidP="005F7A84">
      <w:pPr>
        <w:rPr>
          <w:i/>
        </w:rPr>
      </w:pPr>
      <m:oMathPara>
        <m:oMath>
          <m:r>
            <w:rPr>
              <w:rFonts w:ascii="Cambria Math" w:hAnsi="Cambria Math"/>
            </w:rPr>
            <m:t>β&gt;0</m:t>
          </m:r>
        </m:oMath>
      </m:oMathPara>
    </w:p>
    <w:p w:rsidR="00ED3217" w:rsidRDefault="00ED3217" w:rsidP="005F7A84">
      <w:pPr>
        <w:rPr>
          <w:i/>
        </w:rPr>
      </w:pPr>
      <m:oMathPara>
        <m:oMath>
          <m:r>
            <w:rPr>
              <w:rFonts w:ascii="Cambria Math" w:hAnsi="Cambria Math"/>
            </w:rPr>
            <m:t>2α+β&lt;4</m:t>
          </m:r>
        </m:oMath>
      </m:oMathPara>
    </w:p>
    <w:p w:rsidR="003A66A4" w:rsidRPr="001F16F3" w:rsidRDefault="003A66A4" w:rsidP="001F16F3">
      <w:pPr>
        <w:pStyle w:val="MTDisplayEquation"/>
        <w:rPr>
          <w:rFonts w:ascii="Cambria Math" w:hAnsi="Cambria Math"/>
        </w:rPr>
      </w:pPr>
      <w:r w:rsidRPr="001F16F3">
        <w:rPr>
          <w:i w:val="0"/>
        </w:rPr>
        <w:t>In addition, if the damped version is used, we add the condition</w:t>
      </w:r>
      <w:r w:rsidR="00D95BFA" w:rsidRPr="001F16F3">
        <w:rPr>
          <w:i w:val="0"/>
        </w:rPr>
        <w:t>:</w:t>
      </w:r>
      <w:r w:rsidR="00ED3217">
        <w:t xml:space="preserve"> </w:t>
      </w:r>
      <w:r>
        <w:rPr>
          <w:rFonts w:ascii="Cambria Math" w:hAnsi="Cambria Math"/>
        </w:rPr>
        <w:br/>
      </w:r>
      <m:oMathPara>
        <m:oMath>
          <m:r>
            <w:rPr>
              <w:rFonts w:ascii="Cambria Math" w:hAnsi="Cambria Math"/>
            </w:rPr>
            <m:t>0&lt;φ&lt;1</m:t>
          </m:r>
        </m:oMath>
      </m:oMathPara>
    </w:p>
    <w:p w:rsidR="005F7A84" w:rsidRDefault="003A66A4" w:rsidP="005F7A84">
      <w:pPr>
        <w:rPr>
          <w:i/>
        </w:rPr>
      </w:pPr>
      <w:r>
        <w:rPr>
          <w:i/>
        </w:rPr>
        <w:t>Holt-Winters methods:</w:t>
      </w:r>
    </w:p>
    <w:p w:rsidR="003A66A4" w:rsidRDefault="003A66A4" w:rsidP="001F16F3">
      <w:pPr>
        <w:ind w:left="180"/>
      </w:pPr>
      <w:r>
        <w:t xml:space="preserve">We impose the same conditions as for </w:t>
      </w:r>
      <w:r w:rsidR="001F16F3">
        <w:t>AT</w:t>
      </w:r>
      <w:r>
        <w:t xml:space="preserve">ES along </w:t>
      </w:r>
      <w:r w:rsidR="00D95BFA">
        <w:t>with</w:t>
      </w:r>
      <m:oMath>
        <m:r>
          <w:rPr>
            <w:rFonts w:ascii="Cambria Math" w:hAnsi="Cambria Math"/>
          </w:rPr>
          <m:t xml:space="preserve"> 0&lt;γ&lt;1</m:t>
        </m:r>
      </m:oMath>
      <w:r w:rsidR="00D95BFA">
        <w:t>.</w:t>
      </w:r>
      <w:r>
        <w:t xml:space="preserve"> These conditions are not the exact set of stability conditions but are usually adequate.</w:t>
      </w:r>
    </w:p>
    <w:p w:rsidR="001F16F3" w:rsidRPr="003A66A4" w:rsidRDefault="001F16F3" w:rsidP="001F16F3">
      <w:pPr>
        <w:ind w:left="180"/>
      </w:pPr>
      <w:r>
        <w:t>Finally, the ESM constrains the power in the Box-Cox transformation to lie in the range 0 to 1. This is not necessary but serves to avoid certain numerical problems.</w:t>
      </w:r>
    </w:p>
    <w:p w:rsidR="005F7A84" w:rsidRDefault="005F7A84" w:rsidP="00A925A5"/>
    <w:p w:rsidR="005F7A84" w:rsidRPr="0007587E" w:rsidRDefault="005F7A84" w:rsidP="0007587E">
      <w:pPr>
        <w:rPr>
          <w:b/>
          <w:sz w:val="24"/>
          <w:szCs w:val="24"/>
        </w:rPr>
      </w:pPr>
      <w:r w:rsidRPr="0007587E">
        <w:rPr>
          <w:b/>
          <w:sz w:val="24"/>
          <w:szCs w:val="24"/>
        </w:rPr>
        <w:t>Reference</w:t>
      </w:r>
    </w:p>
    <w:p w:rsidR="005F7A84" w:rsidRPr="005F7A84" w:rsidRDefault="005F7A84" w:rsidP="005F7A84">
      <w:pPr>
        <w:pStyle w:val="Title1"/>
        <w:spacing w:line="276" w:lineRule="auto"/>
        <w:rPr>
          <w:rFonts w:asciiTheme="minorHAnsi" w:hAnsiTheme="minorHAnsi" w:cstheme="minorHAnsi"/>
          <w:sz w:val="22"/>
          <w:szCs w:val="22"/>
        </w:rPr>
      </w:pPr>
      <w:r w:rsidRPr="005F7A84">
        <w:rPr>
          <w:rFonts w:asciiTheme="minorHAnsi" w:hAnsiTheme="minorHAnsi" w:cstheme="minorHAnsi"/>
          <w:sz w:val="22"/>
          <w:szCs w:val="22"/>
        </w:rPr>
        <w:t xml:space="preserve">Hyndman, R. J., Koehler, A. B., Ord, J. K., and Snyder, R. D. (2008). </w:t>
      </w:r>
      <w:r w:rsidRPr="005F7A84">
        <w:rPr>
          <w:rFonts w:asciiTheme="minorHAnsi" w:hAnsiTheme="minorHAnsi" w:cstheme="minorHAnsi"/>
          <w:i/>
          <w:sz w:val="22"/>
          <w:szCs w:val="22"/>
        </w:rPr>
        <w:t xml:space="preserve">Forecasting with Exponential Smoothing. </w:t>
      </w:r>
      <w:r w:rsidRPr="005F7A84">
        <w:rPr>
          <w:rFonts w:asciiTheme="minorHAnsi" w:hAnsiTheme="minorHAnsi" w:cstheme="minorHAnsi"/>
          <w:sz w:val="22"/>
          <w:szCs w:val="22"/>
        </w:rPr>
        <w:t xml:space="preserve"> New York: Springer. </w:t>
      </w:r>
    </w:p>
    <w:p w:rsidR="005F7A84" w:rsidRPr="005F7A84" w:rsidRDefault="005F7A84" w:rsidP="005F7A84"/>
    <w:p w:rsidR="009C7945" w:rsidRPr="009C7945" w:rsidRDefault="009C7945" w:rsidP="009C7945">
      <w:pPr>
        <w:jc w:val="both"/>
        <w:rPr>
          <w:color w:val="000000" w:themeColor="text1"/>
        </w:rPr>
      </w:pPr>
    </w:p>
    <w:sectPr w:rsidR="009C7945" w:rsidRPr="009C7945" w:rsidSect="001F16F3">
      <w:headerReference w:type="default" r:id="rId3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D2C" w:rsidRDefault="00991D2C" w:rsidP="00522C4C">
      <w:pPr>
        <w:spacing w:after="0" w:line="240" w:lineRule="auto"/>
      </w:pPr>
      <w:r>
        <w:separator/>
      </w:r>
    </w:p>
  </w:endnote>
  <w:endnote w:type="continuationSeparator" w:id="0">
    <w:p w:rsidR="00991D2C" w:rsidRDefault="00991D2C" w:rsidP="00522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D2C" w:rsidRDefault="00991D2C" w:rsidP="00522C4C">
      <w:pPr>
        <w:spacing w:after="0" w:line="240" w:lineRule="auto"/>
      </w:pPr>
      <w:r>
        <w:separator/>
      </w:r>
    </w:p>
  </w:footnote>
  <w:footnote w:type="continuationSeparator" w:id="0">
    <w:p w:rsidR="00991D2C" w:rsidRDefault="00991D2C" w:rsidP="00522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944489"/>
      <w:docPartObj>
        <w:docPartGallery w:val="Page Numbers (Top of Page)"/>
        <w:docPartUnique/>
      </w:docPartObj>
    </w:sdtPr>
    <w:sdtEndPr>
      <w:rPr>
        <w:noProof/>
      </w:rPr>
    </w:sdtEndPr>
    <w:sdtContent>
      <w:p w:rsidR="00FB6E35" w:rsidRDefault="00FB6E35">
        <w:pPr>
          <w:pStyle w:val="Header"/>
          <w:jc w:val="center"/>
        </w:pPr>
        <w:r>
          <w:fldChar w:fldCharType="begin"/>
        </w:r>
        <w:r>
          <w:instrText xml:space="preserve"> PAGE   \* MERGEFORMAT </w:instrText>
        </w:r>
        <w:r>
          <w:fldChar w:fldCharType="separate"/>
        </w:r>
        <w:r w:rsidR="00C772E0">
          <w:rPr>
            <w:noProof/>
          </w:rPr>
          <w:t>7</w:t>
        </w:r>
        <w:r>
          <w:rPr>
            <w:noProof/>
          </w:rPr>
          <w:fldChar w:fldCharType="end"/>
        </w:r>
      </w:p>
    </w:sdtContent>
  </w:sdt>
  <w:p w:rsidR="00FB6E35" w:rsidRDefault="00FB6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5023F"/>
    <w:multiLevelType w:val="multilevel"/>
    <w:tmpl w:val="CC98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26604"/>
    <w:multiLevelType w:val="hybridMultilevel"/>
    <w:tmpl w:val="F184D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155A4"/>
    <w:multiLevelType w:val="hybridMultilevel"/>
    <w:tmpl w:val="7DB2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55040"/>
    <w:multiLevelType w:val="hybridMultilevel"/>
    <w:tmpl w:val="43DCCAB2"/>
    <w:lvl w:ilvl="0" w:tplc="473C34E2">
      <w:numFmt w:val="bullet"/>
      <w:lvlText w:val=""/>
      <w:lvlJc w:val="left"/>
      <w:pPr>
        <w:ind w:left="36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C028BD"/>
    <w:multiLevelType w:val="hybridMultilevel"/>
    <w:tmpl w:val="1F043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9E3111"/>
    <w:multiLevelType w:val="hybridMultilevel"/>
    <w:tmpl w:val="0A4095C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CB60707"/>
    <w:multiLevelType w:val="multilevel"/>
    <w:tmpl w:val="8C88C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A872B2"/>
    <w:multiLevelType w:val="hybridMultilevel"/>
    <w:tmpl w:val="31304754"/>
    <w:lvl w:ilvl="0" w:tplc="B53AEE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1247A98"/>
    <w:multiLevelType w:val="hybridMultilevel"/>
    <w:tmpl w:val="87D69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B44056"/>
    <w:multiLevelType w:val="hybridMultilevel"/>
    <w:tmpl w:val="31304754"/>
    <w:lvl w:ilvl="0" w:tplc="B53AEE2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8937452"/>
    <w:multiLevelType w:val="multilevel"/>
    <w:tmpl w:val="73A28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A11F13"/>
    <w:multiLevelType w:val="hybridMultilevel"/>
    <w:tmpl w:val="85F47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10"/>
  </w:num>
  <w:num w:numId="5">
    <w:abstractNumId w:val="6"/>
  </w:num>
  <w:num w:numId="6">
    <w:abstractNumId w:val="0"/>
  </w:num>
  <w:num w:numId="7">
    <w:abstractNumId w:val="1"/>
  </w:num>
  <w:num w:numId="8">
    <w:abstractNumId w:val="11"/>
  </w:num>
  <w:num w:numId="9">
    <w:abstractNumId w:val="5"/>
  </w:num>
  <w:num w:numId="10">
    <w:abstractNumId w:val="4"/>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84D1F"/>
    <w:rsid w:val="000027E3"/>
    <w:rsid w:val="00006FD6"/>
    <w:rsid w:val="00052FF2"/>
    <w:rsid w:val="000541BD"/>
    <w:rsid w:val="00066929"/>
    <w:rsid w:val="0007587E"/>
    <w:rsid w:val="00085833"/>
    <w:rsid w:val="0009500E"/>
    <w:rsid w:val="000A04C2"/>
    <w:rsid w:val="000A7414"/>
    <w:rsid w:val="000B685D"/>
    <w:rsid w:val="000B794B"/>
    <w:rsid w:val="000C40BA"/>
    <w:rsid w:val="000C4189"/>
    <w:rsid w:val="000C5746"/>
    <w:rsid w:val="000D307B"/>
    <w:rsid w:val="000D6B1C"/>
    <w:rsid w:val="000D7D31"/>
    <w:rsid w:val="000F0544"/>
    <w:rsid w:val="00114032"/>
    <w:rsid w:val="00115315"/>
    <w:rsid w:val="00115FF6"/>
    <w:rsid w:val="00121909"/>
    <w:rsid w:val="00123C48"/>
    <w:rsid w:val="00127E76"/>
    <w:rsid w:val="00150940"/>
    <w:rsid w:val="00152C43"/>
    <w:rsid w:val="0016541F"/>
    <w:rsid w:val="001748DC"/>
    <w:rsid w:val="00174B34"/>
    <w:rsid w:val="00181DF6"/>
    <w:rsid w:val="00197E35"/>
    <w:rsid w:val="001A0724"/>
    <w:rsid w:val="001A3FDC"/>
    <w:rsid w:val="001A6516"/>
    <w:rsid w:val="001B0472"/>
    <w:rsid w:val="001C61FD"/>
    <w:rsid w:val="001C6BA6"/>
    <w:rsid w:val="001D146C"/>
    <w:rsid w:val="001E0FCE"/>
    <w:rsid w:val="001E3BED"/>
    <w:rsid w:val="001F16F3"/>
    <w:rsid w:val="00210887"/>
    <w:rsid w:val="002157B5"/>
    <w:rsid w:val="002265D2"/>
    <w:rsid w:val="00243665"/>
    <w:rsid w:val="0025248F"/>
    <w:rsid w:val="002649C7"/>
    <w:rsid w:val="0026606A"/>
    <w:rsid w:val="00280E5C"/>
    <w:rsid w:val="00280F59"/>
    <w:rsid w:val="0028589F"/>
    <w:rsid w:val="002B6650"/>
    <w:rsid w:val="002E52FD"/>
    <w:rsid w:val="002F2CFB"/>
    <w:rsid w:val="002F7EC8"/>
    <w:rsid w:val="00300325"/>
    <w:rsid w:val="0030304F"/>
    <w:rsid w:val="0030382E"/>
    <w:rsid w:val="0030640F"/>
    <w:rsid w:val="003103CA"/>
    <w:rsid w:val="0031116B"/>
    <w:rsid w:val="00317BE9"/>
    <w:rsid w:val="00317DF2"/>
    <w:rsid w:val="003321E4"/>
    <w:rsid w:val="003420C3"/>
    <w:rsid w:val="0034775E"/>
    <w:rsid w:val="00347FA5"/>
    <w:rsid w:val="00356C5E"/>
    <w:rsid w:val="003629E0"/>
    <w:rsid w:val="003A1DC3"/>
    <w:rsid w:val="003A26A6"/>
    <w:rsid w:val="003A66A4"/>
    <w:rsid w:val="003C4D8E"/>
    <w:rsid w:val="003D3109"/>
    <w:rsid w:val="003D3839"/>
    <w:rsid w:val="003D4AC5"/>
    <w:rsid w:val="003E2DF0"/>
    <w:rsid w:val="003F18C7"/>
    <w:rsid w:val="00405B3B"/>
    <w:rsid w:val="0040674F"/>
    <w:rsid w:val="0040754B"/>
    <w:rsid w:val="00432A71"/>
    <w:rsid w:val="00433109"/>
    <w:rsid w:val="00434CB1"/>
    <w:rsid w:val="00436297"/>
    <w:rsid w:val="0043716D"/>
    <w:rsid w:val="00442DFA"/>
    <w:rsid w:val="00456A23"/>
    <w:rsid w:val="004572B4"/>
    <w:rsid w:val="004735B4"/>
    <w:rsid w:val="0047758B"/>
    <w:rsid w:val="00482499"/>
    <w:rsid w:val="00494A26"/>
    <w:rsid w:val="004B1378"/>
    <w:rsid w:val="004B621A"/>
    <w:rsid w:val="004C399B"/>
    <w:rsid w:val="004D5DA1"/>
    <w:rsid w:val="004E5323"/>
    <w:rsid w:val="004F2F8A"/>
    <w:rsid w:val="004F559E"/>
    <w:rsid w:val="004F576A"/>
    <w:rsid w:val="004F7D8D"/>
    <w:rsid w:val="0050463B"/>
    <w:rsid w:val="00506746"/>
    <w:rsid w:val="00507884"/>
    <w:rsid w:val="00511176"/>
    <w:rsid w:val="00516E37"/>
    <w:rsid w:val="00521BF0"/>
    <w:rsid w:val="00522C4C"/>
    <w:rsid w:val="00523BBD"/>
    <w:rsid w:val="00531302"/>
    <w:rsid w:val="00540921"/>
    <w:rsid w:val="00542C39"/>
    <w:rsid w:val="005515DB"/>
    <w:rsid w:val="005542CB"/>
    <w:rsid w:val="00565D72"/>
    <w:rsid w:val="00566425"/>
    <w:rsid w:val="00577B04"/>
    <w:rsid w:val="0059194B"/>
    <w:rsid w:val="00597BEE"/>
    <w:rsid w:val="005B1297"/>
    <w:rsid w:val="005B36AA"/>
    <w:rsid w:val="005B42E6"/>
    <w:rsid w:val="005B6EEF"/>
    <w:rsid w:val="005B74B9"/>
    <w:rsid w:val="005C0A82"/>
    <w:rsid w:val="005D0BF8"/>
    <w:rsid w:val="005D3AE0"/>
    <w:rsid w:val="005D51BE"/>
    <w:rsid w:val="005E2533"/>
    <w:rsid w:val="005E50F4"/>
    <w:rsid w:val="005F34A0"/>
    <w:rsid w:val="005F7A84"/>
    <w:rsid w:val="00624A60"/>
    <w:rsid w:val="00625534"/>
    <w:rsid w:val="006279A5"/>
    <w:rsid w:val="00627DE9"/>
    <w:rsid w:val="00631522"/>
    <w:rsid w:val="00643A62"/>
    <w:rsid w:val="00645740"/>
    <w:rsid w:val="00650A68"/>
    <w:rsid w:val="00655E30"/>
    <w:rsid w:val="0067285E"/>
    <w:rsid w:val="00684EF2"/>
    <w:rsid w:val="006A7909"/>
    <w:rsid w:val="006B1CB6"/>
    <w:rsid w:val="006B5F1C"/>
    <w:rsid w:val="006D249F"/>
    <w:rsid w:val="006D25A1"/>
    <w:rsid w:val="006D56E5"/>
    <w:rsid w:val="006E2D88"/>
    <w:rsid w:val="00705D8F"/>
    <w:rsid w:val="00706B92"/>
    <w:rsid w:val="00711DB7"/>
    <w:rsid w:val="00724C0D"/>
    <w:rsid w:val="00724EC5"/>
    <w:rsid w:val="0073423C"/>
    <w:rsid w:val="007519D3"/>
    <w:rsid w:val="00781B73"/>
    <w:rsid w:val="007844B4"/>
    <w:rsid w:val="007863BD"/>
    <w:rsid w:val="007A4E37"/>
    <w:rsid w:val="007B02E6"/>
    <w:rsid w:val="007B317B"/>
    <w:rsid w:val="007B4789"/>
    <w:rsid w:val="007C5FD7"/>
    <w:rsid w:val="007D206C"/>
    <w:rsid w:val="007E1046"/>
    <w:rsid w:val="007F56CA"/>
    <w:rsid w:val="007F66D1"/>
    <w:rsid w:val="00804221"/>
    <w:rsid w:val="008060C9"/>
    <w:rsid w:val="00811B45"/>
    <w:rsid w:val="00812AF2"/>
    <w:rsid w:val="008234B0"/>
    <w:rsid w:val="00823FF0"/>
    <w:rsid w:val="00825C12"/>
    <w:rsid w:val="00831324"/>
    <w:rsid w:val="00834389"/>
    <w:rsid w:val="0083556E"/>
    <w:rsid w:val="0086211A"/>
    <w:rsid w:val="00862842"/>
    <w:rsid w:val="00866309"/>
    <w:rsid w:val="008670FD"/>
    <w:rsid w:val="00885C14"/>
    <w:rsid w:val="00885FD7"/>
    <w:rsid w:val="0088678B"/>
    <w:rsid w:val="00894DF0"/>
    <w:rsid w:val="008B167A"/>
    <w:rsid w:val="008B2A1F"/>
    <w:rsid w:val="008B44FB"/>
    <w:rsid w:val="008C46F4"/>
    <w:rsid w:val="008C7E68"/>
    <w:rsid w:val="008D63DD"/>
    <w:rsid w:val="008E166D"/>
    <w:rsid w:val="008E2254"/>
    <w:rsid w:val="009054A2"/>
    <w:rsid w:val="009054AF"/>
    <w:rsid w:val="00912AA6"/>
    <w:rsid w:val="00920526"/>
    <w:rsid w:val="00921AE7"/>
    <w:rsid w:val="009228D2"/>
    <w:rsid w:val="00933ED9"/>
    <w:rsid w:val="00941BB3"/>
    <w:rsid w:val="00941D40"/>
    <w:rsid w:val="00942391"/>
    <w:rsid w:val="009569E2"/>
    <w:rsid w:val="009744BD"/>
    <w:rsid w:val="00983C10"/>
    <w:rsid w:val="00991D2C"/>
    <w:rsid w:val="009927B4"/>
    <w:rsid w:val="00996409"/>
    <w:rsid w:val="00996CE9"/>
    <w:rsid w:val="009B4659"/>
    <w:rsid w:val="009C30F6"/>
    <w:rsid w:val="009C7945"/>
    <w:rsid w:val="009D2291"/>
    <w:rsid w:val="009D6993"/>
    <w:rsid w:val="009D6BB4"/>
    <w:rsid w:val="009E2035"/>
    <w:rsid w:val="009E4FE1"/>
    <w:rsid w:val="009F3557"/>
    <w:rsid w:val="00A04D2F"/>
    <w:rsid w:val="00A125E5"/>
    <w:rsid w:val="00A16A20"/>
    <w:rsid w:val="00A23A41"/>
    <w:rsid w:val="00A43646"/>
    <w:rsid w:val="00A46ACA"/>
    <w:rsid w:val="00A52EE9"/>
    <w:rsid w:val="00A822B3"/>
    <w:rsid w:val="00A925A5"/>
    <w:rsid w:val="00A96AED"/>
    <w:rsid w:val="00AA7E88"/>
    <w:rsid w:val="00AB3DDC"/>
    <w:rsid w:val="00AB45B9"/>
    <w:rsid w:val="00AB4E86"/>
    <w:rsid w:val="00AC7EEF"/>
    <w:rsid w:val="00AD363C"/>
    <w:rsid w:val="00AE3107"/>
    <w:rsid w:val="00AE65C7"/>
    <w:rsid w:val="00AE6CBB"/>
    <w:rsid w:val="00B00DC2"/>
    <w:rsid w:val="00B10901"/>
    <w:rsid w:val="00B34A01"/>
    <w:rsid w:val="00B35B4B"/>
    <w:rsid w:val="00B45E76"/>
    <w:rsid w:val="00B53ADB"/>
    <w:rsid w:val="00B5711D"/>
    <w:rsid w:val="00B742CF"/>
    <w:rsid w:val="00B7580B"/>
    <w:rsid w:val="00B87016"/>
    <w:rsid w:val="00BA13A4"/>
    <w:rsid w:val="00BA3486"/>
    <w:rsid w:val="00BB0D0A"/>
    <w:rsid w:val="00BB0DF3"/>
    <w:rsid w:val="00BB77E1"/>
    <w:rsid w:val="00BC4799"/>
    <w:rsid w:val="00BC722F"/>
    <w:rsid w:val="00BC7EF4"/>
    <w:rsid w:val="00BD6A86"/>
    <w:rsid w:val="00BE16DC"/>
    <w:rsid w:val="00BF0C3E"/>
    <w:rsid w:val="00BF3C69"/>
    <w:rsid w:val="00BF64C3"/>
    <w:rsid w:val="00BF7AE2"/>
    <w:rsid w:val="00C03F26"/>
    <w:rsid w:val="00C0411D"/>
    <w:rsid w:val="00C04B1C"/>
    <w:rsid w:val="00C11D47"/>
    <w:rsid w:val="00C13F53"/>
    <w:rsid w:val="00C232E0"/>
    <w:rsid w:val="00C23A66"/>
    <w:rsid w:val="00C27F8D"/>
    <w:rsid w:val="00C3284B"/>
    <w:rsid w:val="00C506CB"/>
    <w:rsid w:val="00C57245"/>
    <w:rsid w:val="00C57B19"/>
    <w:rsid w:val="00C610A7"/>
    <w:rsid w:val="00C7326E"/>
    <w:rsid w:val="00C772E0"/>
    <w:rsid w:val="00C851F8"/>
    <w:rsid w:val="00CA0F86"/>
    <w:rsid w:val="00CA6F13"/>
    <w:rsid w:val="00CB0AD0"/>
    <w:rsid w:val="00CC3ED5"/>
    <w:rsid w:val="00CC7A90"/>
    <w:rsid w:val="00CD26BD"/>
    <w:rsid w:val="00CD45DD"/>
    <w:rsid w:val="00CD523C"/>
    <w:rsid w:val="00CE2353"/>
    <w:rsid w:val="00CF1F62"/>
    <w:rsid w:val="00CF6C5C"/>
    <w:rsid w:val="00D039D0"/>
    <w:rsid w:val="00D04A76"/>
    <w:rsid w:val="00D55E25"/>
    <w:rsid w:val="00D81278"/>
    <w:rsid w:val="00D84D1F"/>
    <w:rsid w:val="00D9187D"/>
    <w:rsid w:val="00D95BFA"/>
    <w:rsid w:val="00DA5953"/>
    <w:rsid w:val="00DA7BEB"/>
    <w:rsid w:val="00DC17CD"/>
    <w:rsid w:val="00DC3144"/>
    <w:rsid w:val="00DC3869"/>
    <w:rsid w:val="00DD4A04"/>
    <w:rsid w:val="00DE417E"/>
    <w:rsid w:val="00DE5910"/>
    <w:rsid w:val="00DE66F0"/>
    <w:rsid w:val="00DF5C1C"/>
    <w:rsid w:val="00E12AAC"/>
    <w:rsid w:val="00E20BD7"/>
    <w:rsid w:val="00E21B0A"/>
    <w:rsid w:val="00E30D61"/>
    <w:rsid w:val="00E4517D"/>
    <w:rsid w:val="00E576BE"/>
    <w:rsid w:val="00E707B7"/>
    <w:rsid w:val="00E7329C"/>
    <w:rsid w:val="00E830C0"/>
    <w:rsid w:val="00E84E7D"/>
    <w:rsid w:val="00E93F30"/>
    <w:rsid w:val="00EA5470"/>
    <w:rsid w:val="00EB23C9"/>
    <w:rsid w:val="00EC190F"/>
    <w:rsid w:val="00EC2FB3"/>
    <w:rsid w:val="00EC6DDB"/>
    <w:rsid w:val="00ED3217"/>
    <w:rsid w:val="00EE06CA"/>
    <w:rsid w:val="00EE08C1"/>
    <w:rsid w:val="00EE2636"/>
    <w:rsid w:val="00F00975"/>
    <w:rsid w:val="00F06174"/>
    <w:rsid w:val="00F224E9"/>
    <w:rsid w:val="00F27D8F"/>
    <w:rsid w:val="00F40C42"/>
    <w:rsid w:val="00F64BE1"/>
    <w:rsid w:val="00F659E0"/>
    <w:rsid w:val="00F67901"/>
    <w:rsid w:val="00F74553"/>
    <w:rsid w:val="00F918C4"/>
    <w:rsid w:val="00F91AB2"/>
    <w:rsid w:val="00F91E7C"/>
    <w:rsid w:val="00F92656"/>
    <w:rsid w:val="00FA01B5"/>
    <w:rsid w:val="00FA3789"/>
    <w:rsid w:val="00FB3648"/>
    <w:rsid w:val="00FB6E35"/>
    <w:rsid w:val="00FD2294"/>
    <w:rsid w:val="00FD4359"/>
    <w:rsid w:val="00FF73C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5F865"/>
  <w15:docId w15:val="{9F615420-036B-4F05-86AF-DB3735516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0BA"/>
  </w:style>
  <w:style w:type="paragraph" w:styleId="Heading1">
    <w:name w:val="heading 1"/>
    <w:basedOn w:val="Normal"/>
    <w:next w:val="Normal"/>
    <w:link w:val="Heading1Char"/>
    <w:uiPriority w:val="9"/>
    <w:qFormat/>
    <w:rsid w:val="005D51BE"/>
    <w:pPr>
      <w:keepNext/>
      <w:keepLines/>
      <w:spacing w:before="600" w:after="240"/>
      <w:outlineLvl w:val="0"/>
    </w:pPr>
    <w:rPr>
      <w:rFonts w:eastAsiaTheme="majorEastAsia" w:cstheme="majorBidi"/>
      <w:b/>
      <w:bCs/>
      <w:color w:val="000000" w:themeColor="text1"/>
      <w:sz w:val="32"/>
      <w:szCs w:val="28"/>
    </w:rPr>
  </w:style>
  <w:style w:type="paragraph" w:styleId="Heading2">
    <w:name w:val="heading 2"/>
    <w:basedOn w:val="Normal"/>
    <w:next w:val="Normal"/>
    <w:link w:val="Heading2Char"/>
    <w:uiPriority w:val="9"/>
    <w:unhideWhenUsed/>
    <w:qFormat/>
    <w:rsid w:val="00FD4359"/>
    <w:pPr>
      <w:keepNext/>
      <w:keepLines/>
      <w:spacing w:before="320" w:after="12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7342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016"/>
    <w:pPr>
      <w:ind w:left="720"/>
      <w:contextualSpacing/>
    </w:pPr>
  </w:style>
  <w:style w:type="character" w:customStyle="1" w:styleId="go">
    <w:name w:val="go"/>
    <w:basedOn w:val="DefaultParagraphFont"/>
    <w:rsid w:val="007B317B"/>
  </w:style>
  <w:style w:type="character" w:styleId="Hyperlink">
    <w:name w:val="Hyperlink"/>
    <w:basedOn w:val="DefaultParagraphFont"/>
    <w:uiPriority w:val="99"/>
    <w:unhideWhenUsed/>
    <w:rsid w:val="007B317B"/>
    <w:rPr>
      <w:color w:val="0000FF" w:themeColor="hyperlink"/>
      <w:u w:val="single"/>
    </w:rPr>
  </w:style>
  <w:style w:type="paragraph" w:styleId="NoSpacing">
    <w:name w:val="No Spacing"/>
    <w:uiPriority w:val="1"/>
    <w:qFormat/>
    <w:rsid w:val="00627DE9"/>
    <w:pPr>
      <w:spacing w:after="0" w:line="240" w:lineRule="auto"/>
    </w:pPr>
  </w:style>
  <w:style w:type="paragraph" w:styleId="BalloonText">
    <w:name w:val="Balloon Text"/>
    <w:basedOn w:val="Normal"/>
    <w:link w:val="BalloonTextChar"/>
    <w:uiPriority w:val="99"/>
    <w:semiHidden/>
    <w:unhideWhenUsed/>
    <w:rsid w:val="000C5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746"/>
    <w:rPr>
      <w:rFonts w:ascii="Tahoma" w:hAnsi="Tahoma" w:cs="Tahoma"/>
      <w:sz w:val="16"/>
      <w:szCs w:val="16"/>
    </w:rPr>
  </w:style>
  <w:style w:type="paragraph" w:styleId="Header">
    <w:name w:val="header"/>
    <w:basedOn w:val="Normal"/>
    <w:link w:val="HeaderChar"/>
    <w:uiPriority w:val="99"/>
    <w:unhideWhenUsed/>
    <w:rsid w:val="00522C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C4C"/>
  </w:style>
  <w:style w:type="paragraph" w:styleId="Footer">
    <w:name w:val="footer"/>
    <w:basedOn w:val="Normal"/>
    <w:link w:val="FooterChar"/>
    <w:uiPriority w:val="99"/>
    <w:unhideWhenUsed/>
    <w:rsid w:val="00522C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C4C"/>
  </w:style>
  <w:style w:type="character" w:customStyle="1" w:styleId="Heading2Char">
    <w:name w:val="Heading 2 Char"/>
    <w:basedOn w:val="DefaultParagraphFont"/>
    <w:link w:val="Heading2"/>
    <w:uiPriority w:val="9"/>
    <w:rsid w:val="00FD4359"/>
    <w:rPr>
      <w:rFonts w:eastAsiaTheme="majorEastAsia" w:cstheme="majorBidi"/>
      <w:b/>
      <w:bCs/>
      <w:color w:val="000000" w:themeColor="text1"/>
      <w:sz w:val="24"/>
      <w:szCs w:val="26"/>
    </w:rPr>
  </w:style>
  <w:style w:type="character" w:customStyle="1" w:styleId="Heading1Char">
    <w:name w:val="Heading 1 Char"/>
    <w:basedOn w:val="DefaultParagraphFont"/>
    <w:link w:val="Heading1"/>
    <w:uiPriority w:val="9"/>
    <w:rsid w:val="005D51BE"/>
    <w:rPr>
      <w:rFonts w:eastAsiaTheme="majorEastAsia" w:cstheme="majorBidi"/>
      <w:b/>
      <w:bCs/>
      <w:color w:val="000000" w:themeColor="text1"/>
      <w:sz w:val="32"/>
      <w:szCs w:val="28"/>
    </w:rPr>
  </w:style>
  <w:style w:type="paragraph" w:styleId="TOCHeading">
    <w:name w:val="TOC Heading"/>
    <w:basedOn w:val="Heading1"/>
    <w:next w:val="Normal"/>
    <w:uiPriority w:val="39"/>
    <w:unhideWhenUsed/>
    <w:qFormat/>
    <w:rsid w:val="005F34A0"/>
    <w:pPr>
      <w:spacing w:before="480" w:after="0"/>
      <w:outlineLvl w:val="9"/>
    </w:pPr>
    <w:rPr>
      <w:rFonts w:asciiTheme="majorHAnsi" w:hAnsiTheme="majorHAnsi"/>
      <w:color w:val="365F91" w:themeColor="accent1" w:themeShade="BF"/>
      <w:sz w:val="28"/>
      <w:lang w:val="en-US" w:eastAsia="en-US"/>
    </w:rPr>
  </w:style>
  <w:style w:type="paragraph" w:styleId="TOC1">
    <w:name w:val="toc 1"/>
    <w:basedOn w:val="Normal"/>
    <w:next w:val="Normal"/>
    <w:autoRedefine/>
    <w:uiPriority w:val="39"/>
    <w:unhideWhenUsed/>
    <w:rsid w:val="005F34A0"/>
    <w:pPr>
      <w:spacing w:after="100"/>
    </w:pPr>
  </w:style>
  <w:style w:type="paragraph" w:styleId="TOC2">
    <w:name w:val="toc 2"/>
    <w:basedOn w:val="Normal"/>
    <w:next w:val="Normal"/>
    <w:autoRedefine/>
    <w:uiPriority w:val="39"/>
    <w:unhideWhenUsed/>
    <w:rsid w:val="005F34A0"/>
    <w:pPr>
      <w:spacing w:after="100"/>
      <w:ind w:left="220"/>
    </w:pPr>
  </w:style>
  <w:style w:type="paragraph" w:styleId="Caption">
    <w:name w:val="caption"/>
    <w:basedOn w:val="Normal"/>
    <w:next w:val="Normal"/>
    <w:uiPriority w:val="35"/>
    <w:unhideWhenUsed/>
    <w:qFormat/>
    <w:rsid w:val="00A822B3"/>
    <w:pPr>
      <w:spacing w:line="240" w:lineRule="auto"/>
      <w:jc w:val="center"/>
    </w:pPr>
    <w:rPr>
      <w:b/>
      <w:bCs/>
      <w:color w:val="000000" w:themeColor="text1"/>
      <w:szCs w:val="18"/>
    </w:rPr>
  </w:style>
  <w:style w:type="character" w:customStyle="1" w:styleId="Heading3Char">
    <w:name w:val="Heading 3 Char"/>
    <w:basedOn w:val="DefaultParagraphFont"/>
    <w:link w:val="Heading3"/>
    <w:uiPriority w:val="9"/>
    <w:rsid w:val="0073423C"/>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734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brios-descrip">
    <w:name w:val="librios-descrip"/>
    <w:basedOn w:val="DefaultParagraphFont"/>
    <w:rsid w:val="00C0411D"/>
  </w:style>
  <w:style w:type="paragraph" w:styleId="TOC3">
    <w:name w:val="toc 3"/>
    <w:basedOn w:val="Normal"/>
    <w:next w:val="Normal"/>
    <w:autoRedefine/>
    <w:uiPriority w:val="39"/>
    <w:unhideWhenUsed/>
    <w:rsid w:val="009C7945"/>
    <w:pPr>
      <w:spacing w:after="100"/>
      <w:ind w:left="440"/>
    </w:pPr>
  </w:style>
  <w:style w:type="paragraph" w:customStyle="1" w:styleId="Title1">
    <w:name w:val="Title1"/>
    <w:basedOn w:val="Normal"/>
    <w:uiPriority w:val="99"/>
    <w:rsid w:val="005F7A8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TDisplayEquation">
    <w:name w:val="MTDisplayEquation"/>
    <w:basedOn w:val="Normal"/>
    <w:next w:val="Normal"/>
    <w:link w:val="MTDisplayEquationChar"/>
    <w:rsid w:val="003A66A4"/>
    <w:pPr>
      <w:tabs>
        <w:tab w:val="center" w:pos="4520"/>
        <w:tab w:val="right" w:pos="9020"/>
      </w:tabs>
    </w:pPr>
    <w:rPr>
      <w:i/>
    </w:rPr>
  </w:style>
  <w:style w:type="character" w:customStyle="1" w:styleId="MTDisplayEquationChar">
    <w:name w:val="MTDisplayEquation Char"/>
    <w:basedOn w:val="DefaultParagraphFont"/>
    <w:link w:val="MTDisplayEquation"/>
    <w:rsid w:val="003A66A4"/>
    <w:rPr>
      <w:i/>
    </w:rPr>
  </w:style>
  <w:style w:type="character" w:styleId="CommentReference">
    <w:name w:val="annotation reference"/>
    <w:basedOn w:val="DefaultParagraphFont"/>
    <w:uiPriority w:val="99"/>
    <w:semiHidden/>
    <w:unhideWhenUsed/>
    <w:rsid w:val="003A66A4"/>
    <w:rPr>
      <w:sz w:val="16"/>
      <w:szCs w:val="16"/>
    </w:rPr>
  </w:style>
  <w:style w:type="paragraph" w:styleId="CommentText">
    <w:name w:val="annotation text"/>
    <w:basedOn w:val="Normal"/>
    <w:link w:val="CommentTextChar"/>
    <w:uiPriority w:val="99"/>
    <w:semiHidden/>
    <w:unhideWhenUsed/>
    <w:rsid w:val="003A66A4"/>
    <w:pPr>
      <w:spacing w:line="240" w:lineRule="auto"/>
    </w:pPr>
    <w:rPr>
      <w:sz w:val="20"/>
      <w:szCs w:val="20"/>
    </w:rPr>
  </w:style>
  <w:style w:type="character" w:customStyle="1" w:styleId="CommentTextChar">
    <w:name w:val="Comment Text Char"/>
    <w:basedOn w:val="DefaultParagraphFont"/>
    <w:link w:val="CommentText"/>
    <w:uiPriority w:val="99"/>
    <w:semiHidden/>
    <w:rsid w:val="003A66A4"/>
    <w:rPr>
      <w:sz w:val="20"/>
      <w:szCs w:val="20"/>
    </w:rPr>
  </w:style>
  <w:style w:type="paragraph" w:styleId="CommentSubject">
    <w:name w:val="annotation subject"/>
    <w:basedOn w:val="CommentText"/>
    <w:next w:val="CommentText"/>
    <w:link w:val="CommentSubjectChar"/>
    <w:uiPriority w:val="99"/>
    <w:semiHidden/>
    <w:unhideWhenUsed/>
    <w:rsid w:val="003A66A4"/>
    <w:rPr>
      <w:b/>
      <w:bCs/>
    </w:rPr>
  </w:style>
  <w:style w:type="character" w:customStyle="1" w:styleId="CommentSubjectChar">
    <w:name w:val="Comment Subject Char"/>
    <w:basedOn w:val="CommentTextChar"/>
    <w:link w:val="CommentSubject"/>
    <w:uiPriority w:val="99"/>
    <w:semiHidden/>
    <w:rsid w:val="003A66A4"/>
    <w:rPr>
      <w:b/>
      <w:bCs/>
      <w:sz w:val="20"/>
      <w:szCs w:val="20"/>
    </w:rPr>
  </w:style>
  <w:style w:type="paragraph" w:styleId="Revision">
    <w:name w:val="Revision"/>
    <w:hidden/>
    <w:uiPriority w:val="99"/>
    <w:semiHidden/>
    <w:rsid w:val="00506746"/>
    <w:pPr>
      <w:spacing w:after="0" w:line="240" w:lineRule="auto"/>
    </w:pPr>
  </w:style>
  <w:style w:type="character" w:styleId="PlaceholderText">
    <w:name w:val="Placeholder Text"/>
    <w:basedOn w:val="DefaultParagraphFont"/>
    <w:uiPriority w:val="99"/>
    <w:semiHidden/>
    <w:rsid w:val="00ED3217"/>
    <w:rPr>
      <w:color w:val="808080"/>
    </w:rPr>
  </w:style>
  <w:style w:type="character" w:styleId="UnresolvedMention">
    <w:name w:val="Unresolved Mention"/>
    <w:basedOn w:val="DefaultParagraphFont"/>
    <w:uiPriority w:val="99"/>
    <w:semiHidden/>
    <w:unhideWhenUsed/>
    <w:rsid w:val="00FD229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ssexlearning.com/pobf2e" TargetMode="Externa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hyperlink" Target="http://www.lums.lancs.ac.uk/research/centres/Forecasting/market_modelling/"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png"/><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www.lums.lancs.ac.uk/research/centres/Forecasting/data_minin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yperlink" Target="http://www.lums.lancs.ac.uk/research/centres/Forecasting/forecasting_services/" TargetMode="External"/><Relationship Id="rId28" Type="http://schemas.openxmlformats.org/officeDocument/2006/relationships/image" Target="media/image15.wmf"/><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essexlearning.org/pobf2e" TargetMode="Externa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oleObject" Target="embeddings/oleObject1.bin"/><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C4907-ADB3-49F7-8168-C641144F9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17</Pages>
  <Words>3003</Words>
  <Characters>17122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lums</dc:creator>
  <cp:lastModifiedBy>John Ord</cp:lastModifiedBy>
  <cp:revision>8</cp:revision>
  <cp:lastPrinted>2017-09-10T16:30:00Z</cp:lastPrinted>
  <dcterms:created xsi:type="dcterms:W3CDTF">2017-09-09T16:48:00Z</dcterms:created>
  <dcterms:modified xsi:type="dcterms:W3CDTF">2017-09-10T16:31:00Z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